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0B98" w14:textId="1A190EED" w:rsidR="001D4DF7" w:rsidRPr="001D4DF7" w:rsidRDefault="00D738BF" w:rsidP="001D4DF7">
      <w:pPr>
        <w:jc w:val="center"/>
        <w:rPr>
          <w:rFonts w:ascii="Calibri" w:hAnsi="Calibri" w:cs="Calibri"/>
          <w:sz w:val="22"/>
          <w:szCs w:val="22"/>
        </w:rPr>
      </w:pPr>
      <w:bookmarkStart w:id="0" w:name="_Hlk149884802"/>
      <w:r w:rsidRPr="00D738BF">
        <w:rPr>
          <w:rFonts w:ascii="Calibri" w:hAnsi="Calibri" w:cs="Calibri"/>
          <w:noProof/>
          <w:sz w:val="22"/>
          <w:szCs w:val="22"/>
        </w:rPr>
        <w:drawing>
          <wp:inline distT="0" distB="0" distL="0" distR="0" wp14:anchorId="4AC6B1E9" wp14:editId="132FDE1D">
            <wp:extent cx="2581275" cy="628650"/>
            <wp:effectExtent l="0" t="0" r="9525" b="0"/>
            <wp:docPr id="974153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81275" cy="628650"/>
                    </a:xfrm>
                    <a:prstGeom prst="rect">
                      <a:avLst/>
                    </a:prstGeom>
                    <a:noFill/>
                    <a:ln>
                      <a:noFill/>
                    </a:ln>
                  </pic:spPr>
                </pic:pic>
              </a:graphicData>
            </a:graphic>
          </wp:inline>
        </w:drawing>
      </w:r>
      <w:r w:rsidR="0082669D">
        <w:rPr>
          <w:rFonts w:ascii="Calibri" w:hAnsi="Calibri" w:cs="Calibri"/>
          <w:sz w:val="22"/>
          <w:szCs w:val="22"/>
        </w:rPr>
        <w:t xml:space="preserve"> </w:t>
      </w:r>
    </w:p>
    <w:p w14:paraId="146B6AF4" w14:textId="4631B650" w:rsidR="00D738BF" w:rsidRPr="00D738BF" w:rsidRDefault="00D738BF" w:rsidP="00D738BF">
      <w:pPr>
        <w:jc w:val="center"/>
        <w:rPr>
          <w:rFonts w:ascii="Calibri" w:hAnsi="Calibri" w:cs="Calibri"/>
          <w:sz w:val="22"/>
          <w:szCs w:val="22"/>
        </w:rPr>
      </w:pPr>
    </w:p>
    <w:p w14:paraId="77F2BE78" w14:textId="77777777" w:rsidR="00D738BF" w:rsidRPr="00D738BF" w:rsidRDefault="00D738BF" w:rsidP="00D738BF">
      <w:pPr>
        <w:jc w:val="center"/>
        <w:rPr>
          <w:rFonts w:ascii="Calibri" w:hAnsi="Calibri" w:cs="Calibri"/>
          <w:sz w:val="22"/>
          <w:szCs w:val="22"/>
        </w:rPr>
      </w:pPr>
    </w:p>
    <w:p w14:paraId="36820BC3" w14:textId="77777777" w:rsidR="00D738BF" w:rsidRPr="00E92AEA" w:rsidRDefault="00D738BF" w:rsidP="00D738BF">
      <w:pPr>
        <w:rPr>
          <w:rFonts w:ascii="Calibri" w:hAnsi="Calibri" w:cs="Calibri"/>
          <w:b/>
          <w:bCs/>
          <w:sz w:val="22"/>
          <w:szCs w:val="22"/>
        </w:rPr>
      </w:pPr>
      <w:r w:rsidRPr="00E92AEA">
        <w:rPr>
          <w:rFonts w:ascii="Calibri" w:hAnsi="Calibri" w:cs="Calibri"/>
          <w:b/>
          <w:bCs/>
          <w:sz w:val="22"/>
          <w:szCs w:val="22"/>
        </w:rPr>
        <w:t>FOR IMMEDIATE RELEASE</w:t>
      </w:r>
    </w:p>
    <w:p w14:paraId="360A0F95" w14:textId="77777777" w:rsidR="00D738BF" w:rsidRPr="00E92AEA" w:rsidRDefault="00D738BF" w:rsidP="00D738BF">
      <w:pPr>
        <w:rPr>
          <w:rFonts w:ascii="Calibri" w:hAnsi="Calibri" w:cs="Calibri"/>
          <w:sz w:val="22"/>
          <w:szCs w:val="22"/>
        </w:rPr>
      </w:pPr>
    </w:p>
    <w:p w14:paraId="01E7694A" w14:textId="55BB9C1C" w:rsidR="00484C4E" w:rsidRDefault="00484C4E" w:rsidP="00192DD9">
      <w:pPr>
        <w:jc w:val="center"/>
        <w:rPr>
          <w:rFonts w:ascii="Calibri" w:hAnsi="Calibri" w:cs="Calibri"/>
          <w:b/>
          <w:bCs/>
          <w:sz w:val="28"/>
          <w:szCs w:val="28"/>
        </w:rPr>
      </w:pPr>
      <w:r w:rsidRPr="00484C4E">
        <w:rPr>
          <w:rFonts w:ascii="Calibri" w:hAnsi="Calibri" w:cs="Calibri"/>
          <w:b/>
          <w:bCs/>
          <w:sz w:val="28"/>
          <w:szCs w:val="28"/>
        </w:rPr>
        <w:t xml:space="preserve">Caesars </w:t>
      </w:r>
      <w:r w:rsidR="007B17E3">
        <w:rPr>
          <w:rFonts w:ascii="Calibri" w:hAnsi="Calibri" w:cs="Calibri"/>
          <w:b/>
          <w:bCs/>
          <w:sz w:val="28"/>
          <w:szCs w:val="28"/>
        </w:rPr>
        <w:t xml:space="preserve">Entertainment </w:t>
      </w:r>
      <w:r w:rsidRPr="00484C4E">
        <w:rPr>
          <w:rFonts w:ascii="Calibri" w:hAnsi="Calibri" w:cs="Calibri"/>
          <w:b/>
          <w:bCs/>
          <w:sz w:val="28"/>
          <w:szCs w:val="28"/>
        </w:rPr>
        <w:t xml:space="preserve">Brings IGT PlayDigital’s </w:t>
      </w:r>
      <w:r w:rsidRPr="00760C64">
        <w:rPr>
          <w:rFonts w:ascii="Calibri" w:hAnsi="Calibri" w:cs="Calibri"/>
          <w:b/>
          <w:bCs/>
          <w:i/>
          <w:iCs/>
          <w:sz w:val="28"/>
          <w:szCs w:val="28"/>
        </w:rPr>
        <w:t>Cash Eruption</w:t>
      </w:r>
      <w:r w:rsidRPr="00E90E6A">
        <w:rPr>
          <w:rFonts w:ascii="Calibri" w:hAnsi="Calibri" w:cs="Calibri"/>
          <w:b/>
          <w:bCs/>
          <w:i/>
          <w:iCs/>
          <w:sz w:val="28"/>
          <w:szCs w:val="28"/>
          <w:vertAlign w:val="superscript"/>
        </w:rPr>
        <w:t>™</w:t>
      </w:r>
      <w:r w:rsidRPr="00484C4E">
        <w:rPr>
          <w:rFonts w:ascii="Calibri" w:hAnsi="Calibri" w:cs="Calibri"/>
          <w:b/>
          <w:bCs/>
          <w:sz w:val="28"/>
          <w:szCs w:val="28"/>
        </w:rPr>
        <w:t xml:space="preserve"> </w:t>
      </w:r>
      <w:r w:rsidR="00777672" w:rsidRPr="00777672">
        <w:rPr>
          <w:rFonts w:ascii="Calibri" w:hAnsi="Calibri" w:cs="Calibri"/>
          <w:b/>
          <w:bCs/>
          <w:sz w:val="28"/>
          <w:szCs w:val="28"/>
        </w:rPr>
        <w:t>Game Family from Screen to Casino Floor with Exclusive Atlantic City Debut</w:t>
      </w:r>
    </w:p>
    <w:p w14:paraId="4C32EA8D" w14:textId="7C6244C6" w:rsidR="003D777D" w:rsidRDefault="00777672" w:rsidP="00E437CD">
      <w:pPr>
        <w:jc w:val="center"/>
        <w:rPr>
          <w:rFonts w:ascii="Calibri" w:hAnsi="Calibri" w:cs="Calibri"/>
          <w:i/>
          <w:iCs/>
        </w:rPr>
      </w:pPr>
      <w:r w:rsidRPr="00777672">
        <w:rPr>
          <w:rFonts w:ascii="Calibri" w:hAnsi="Calibri" w:cs="Calibri"/>
          <w:i/>
          <w:iCs/>
        </w:rPr>
        <w:t xml:space="preserve">IGT PlayDigital’s most popular online casino franchise makes first-ever land-based </w:t>
      </w:r>
      <w:r>
        <w:rPr>
          <w:rFonts w:ascii="Calibri" w:hAnsi="Calibri" w:cs="Calibri"/>
          <w:i/>
          <w:iCs/>
        </w:rPr>
        <w:br/>
      </w:r>
      <w:r w:rsidRPr="00777672">
        <w:rPr>
          <w:rFonts w:ascii="Calibri" w:hAnsi="Calibri" w:cs="Calibri"/>
          <w:i/>
          <w:iCs/>
        </w:rPr>
        <w:t>debut with latest titles across Caesars Rewards</w:t>
      </w:r>
      <w:r w:rsidRPr="00084825">
        <w:rPr>
          <w:rFonts w:ascii="Calibri" w:hAnsi="Calibri" w:cs="Calibri"/>
          <w:i/>
          <w:iCs/>
          <w:vertAlign w:val="superscript"/>
        </w:rPr>
        <w:t>®</w:t>
      </w:r>
      <w:r w:rsidRPr="00777672">
        <w:rPr>
          <w:rFonts w:ascii="Calibri" w:hAnsi="Calibri" w:cs="Calibri"/>
          <w:i/>
          <w:iCs/>
        </w:rPr>
        <w:t xml:space="preserve"> destinations in Atlantic City</w:t>
      </w:r>
    </w:p>
    <w:p w14:paraId="427B32D2" w14:textId="77777777" w:rsidR="00E437CD" w:rsidRPr="00E437CD" w:rsidRDefault="00E437CD" w:rsidP="00E437CD">
      <w:pPr>
        <w:jc w:val="center"/>
        <w:rPr>
          <w:rFonts w:ascii="Calibri" w:hAnsi="Calibri" w:cs="Calibri"/>
        </w:rPr>
      </w:pPr>
    </w:p>
    <w:p w14:paraId="35AF742D" w14:textId="70D42A31" w:rsidR="00651426" w:rsidRPr="00891FA0" w:rsidRDefault="003C5E2A" w:rsidP="00651426">
      <w:pPr>
        <w:rPr>
          <w:rFonts w:ascii="Calibri" w:hAnsi="Calibri" w:cs="Calibri"/>
          <w:sz w:val="22"/>
          <w:szCs w:val="22"/>
        </w:rPr>
      </w:pPr>
      <w:r w:rsidRPr="00891FA0">
        <w:rPr>
          <w:rFonts w:ascii="Calibri" w:hAnsi="Calibri" w:cs="Calibri"/>
          <w:b/>
          <w:bCs/>
          <w:sz w:val="22"/>
          <w:szCs w:val="22"/>
        </w:rPr>
        <w:t>LAS VEGAS (</w:t>
      </w:r>
      <w:r w:rsidR="00627E6F" w:rsidRPr="00891FA0">
        <w:rPr>
          <w:rFonts w:ascii="Calibri" w:hAnsi="Calibri" w:cs="Calibri"/>
          <w:b/>
          <w:bCs/>
          <w:sz w:val="22"/>
          <w:szCs w:val="22"/>
        </w:rPr>
        <w:t xml:space="preserve">June </w:t>
      </w:r>
      <w:r w:rsidR="00C6437C" w:rsidRPr="000368BC">
        <w:rPr>
          <w:rFonts w:ascii="Calibri" w:hAnsi="Calibri" w:cs="Calibri"/>
          <w:b/>
          <w:bCs/>
          <w:sz w:val="22"/>
          <w:szCs w:val="22"/>
        </w:rPr>
        <w:t>8</w:t>
      </w:r>
      <w:r w:rsidRPr="000368BC">
        <w:rPr>
          <w:rFonts w:ascii="Calibri" w:hAnsi="Calibri" w:cs="Calibri"/>
          <w:b/>
          <w:bCs/>
          <w:sz w:val="22"/>
          <w:szCs w:val="22"/>
        </w:rPr>
        <w:t>,</w:t>
      </w:r>
      <w:r w:rsidRPr="00891FA0">
        <w:rPr>
          <w:rFonts w:ascii="Calibri" w:hAnsi="Calibri" w:cs="Calibri"/>
          <w:b/>
          <w:bCs/>
          <w:sz w:val="22"/>
          <w:szCs w:val="22"/>
        </w:rPr>
        <w:t xml:space="preserve"> 202</w:t>
      </w:r>
      <w:r w:rsidR="009E3FD2" w:rsidRPr="00891FA0">
        <w:rPr>
          <w:rFonts w:ascii="Calibri" w:hAnsi="Calibri" w:cs="Calibri"/>
          <w:b/>
          <w:bCs/>
          <w:sz w:val="22"/>
          <w:szCs w:val="22"/>
        </w:rPr>
        <w:t>6</w:t>
      </w:r>
      <w:r w:rsidRPr="00891FA0">
        <w:rPr>
          <w:rFonts w:ascii="Calibri" w:hAnsi="Calibri" w:cs="Calibri"/>
          <w:b/>
          <w:bCs/>
          <w:sz w:val="22"/>
          <w:szCs w:val="22"/>
        </w:rPr>
        <w:t xml:space="preserve">) </w:t>
      </w:r>
      <w:r w:rsidRPr="00891FA0">
        <w:rPr>
          <w:rFonts w:ascii="Calibri" w:hAnsi="Calibri" w:cs="Calibri"/>
          <w:sz w:val="22"/>
          <w:szCs w:val="22"/>
        </w:rPr>
        <w:t xml:space="preserve">– </w:t>
      </w:r>
      <w:r w:rsidR="00A4535E" w:rsidRPr="00A4535E">
        <w:rPr>
          <w:rFonts w:ascii="Calibri" w:hAnsi="Calibri" w:cs="Calibri"/>
          <w:sz w:val="22"/>
          <w:szCs w:val="22"/>
        </w:rPr>
        <w:t xml:space="preserve">Caesars Entertainment, Inc. (NASDAQ: CZR) (“Caesars”) </w:t>
      </w:r>
      <w:r w:rsidR="002C342B" w:rsidRPr="002C342B">
        <w:rPr>
          <w:rFonts w:ascii="Calibri" w:hAnsi="Calibri" w:cs="Calibri"/>
          <w:sz w:val="22"/>
          <w:szCs w:val="22"/>
        </w:rPr>
        <w:t xml:space="preserve">today announced the exclusive land-based debut of the latest titles within IGT PlayDigital’s </w:t>
      </w:r>
      <w:r w:rsidR="002C342B" w:rsidRPr="0081623E">
        <w:rPr>
          <w:rFonts w:ascii="Calibri" w:hAnsi="Calibri" w:cs="Calibri"/>
          <w:i/>
          <w:iCs/>
          <w:sz w:val="22"/>
          <w:szCs w:val="22"/>
        </w:rPr>
        <w:t>Cash Eruption</w:t>
      </w:r>
      <w:r w:rsidR="002C342B" w:rsidRPr="003273E2">
        <w:rPr>
          <w:rFonts w:ascii="Calibri" w:hAnsi="Calibri" w:cs="Calibri"/>
          <w:i/>
          <w:iCs/>
          <w:sz w:val="22"/>
          <w:szCs w:val="22"/>
          <w:vertAlign w:val="superscript"/>
        </w:rPr>
        <w:t>™</w:t>
      </w:r>
      <w:r w:rsidR="002C342B" w:rsidRPr="002C342B">
        <w:rPr>
          <w:rFonts w:ascii="Calibri" w:hAnsi="Calibri" w:cs="Calibri"/>
          <w:sz w:val="22"/>
          <w:szCs w:val="22"/>
        </w:rPr>
        <w:t xml:space="preserve"> game family. The launch brings </w:t>
      </w:r>
      <w:r w:rsidR="002F3E93">
        <w:rPr>
          <w:rFonts w:ascii="Calibri" w:hAnsi="Calibri" w:cs="Calibri"/>
          <w:sz w:val="22"/>
          <w:szCs w:val="22"/>
        </w:rPr>
        <w:t>the latest versions</w:t>
      </w:r>
      <w:r w:rsidR="002C342B" w:rsidRPr="002C342B">
        <w:rPr>
          <w:rFonts w:ascii="Calibri" w:hAnsi="Calibri" w:cs="Calibri"/>
          <w:sz w:val="22"/>
          <w:szCs w:val="22"/>
        </w:rPr>
        <w:t xml:space="preserve"> of one of the most popular online casino franchises in North America</w:t>
      </w:r>
      <w:r w:rsidR="002F3E93">
        <w:rPr>
          <w:rFonts w:ascii="Calibri" w:hAnsi="Calibri" w:cs="Calibri"/>
          <w:sz w:val="22"/>
          <w:szCs w:val="22"/>
        </w:rPr>
        <w:t xml:space="preserve"> </w:t>
      </w:r>
      <w:r w:rsidR="002C342B" w:rsidRPr="002C342B">
        <w:rPr>
          <w:rFonts w:ascii="Calibri" w:hAnsi="Calibri" w:cs="Calibri"/>
          <w:sz w:val="22"/>
          <w:szCs w:val="22"/>
        </w:rPr>
        <w:t>to Caesars Rewards destinations, giving players the</w:t>
      </w:r>
      <w:r w:rsidR="00860277">
        <w:rPr>
          <w:rFonts w:ascii="Calibri" w:hAnsi="Calibri" w:cs="Calibri"/>
          <w:sz w:val="22"/>
          <w:szCs w:val="22"/>
        </w:rPr>
        <w:t xml:space="preserve"> </w:t>
      </w:r>
      <w:r w:rsidR="002C342B" w:rsidRPr="002C342B">
        <w:rPr>
          <w:rFonts w:ascii="Calibri" w:hAnsi="Calibri" w:cs="Calibri"/>
          <w:sz w:val="22"/>
          <w:szCs w:val="22"/>
        </w:rPr>
        <w:t xml:space="preserve">opportunity to experience these titles </w:t>
      </w:r>
      <w:r w:rsidR="005B53D7" w:rsidRPr="005B53D7">
        <w:rPr>
          <w:rFonts w:ascii="Calibri" w:hAnsi="Calibri" w:cs="Calibri"/>
          <w:sz w:val="22"/>
          <w:szCs w:val="22"/>
        </w:rPr>
        <w:t>on the casino floor for the first time in a land-based setting</w:t>
      </w:r>
      <w:r w:rsidR="002C342B" w:rsidRPr="002C342B">
        <w:rPr>
          <w:rFonts w:ascii="Calibri" w:hAnsi="Calibri" w:cs="Calibri"/>
          <w:sz w:val="22"/>
          <w:szCs w:val="22"/>
        </w:rPr>
        <w:t>.</w:t>
      </w:r>
    </w:p>
    <w:p w14:paraId="26DA0D8D" w14:textId="77777777" w:rsidR="00651426" w:rsidRPr="00891FA0" w:rsidRDefault="00651426" w:rsidP="00651426">
      <w:pPr>
        <w:rPr>
          <w:rFonts w:ascii="Calibri" w:hAnsi="Calibri" w:cs="Calibri"/>
          <w:sz w:val="22"/>
          <w:szCs w:val="22"/>
        </w:rPr>
      </w:pPr>
    </w:p>
    <w:p w14:paraId="0DA78B5B" w14:textId="5BE4FC61" w:rsidR="00C24D87" w:rsidRDefault="005600B0" w:rsidP="00C24D87">
      <w:pPr>
        <w:rPr>
          <w:rFonts w:ascii="Calibri" w:hAnsi="Calibri" w:cs="Calibri"/>
          <w:sz w:val="22"/>
          <w:szCs w:val="22"/>
        </w:rPr>
      </w:pPr>
      <w:r w:rsidRPr="005600B0">
        <w:rPr>
          <w:rFonts w:ascii="Calibri" w:hAnsi="Calibri" w:cs="Calibri"/>
          <w:sz w:val="22"/>
          <w:szCs w:val="22"/>
        </w:rPr>
        <w:t xml:space="preserve">The newly introduced titles include </w:t>
      </w:r>
      <w:r w:rsidRPr="005600B0">
        <w:rPr>
          <w:rFonts w:ascii="Calibri" w:hAnsi="Calibri" w:cs="Calibri"/>
          <w:i/>
          <w:iCs/>
          <w:sz w:val="22"/>
          <w:szCs w:val="22"/>
        </w:rPr>
        <w:t>Cash Eruption VIP Amazing Treasures™</w:t>
      </w:r>
      <w:r w:rsidRPr="005600B0">
        <w:rPr>
          <w:rFonts w:ascii="Calibri" w:hAnsi="Calibri" w:cs="Calibri"/>
          <w:sz w:val="22"/>
          <w:szCs w:val="22"/>
        </w:rPr>
        <w:t xml:space="preserve">, </w:t>
      </w:r>
      <w:r w:rsidRPr="005600B0">
        <w:rPr>
          <w:rFonts w:ascii="Calibri" w:hAnsi="Calibri" w:cs="Calibri"/>
          <w:i/>
          <w:iCs/>
          <w:sz w:val="22"/>
          <w:szCs w:val="22"/>
        </w:rPr>
        <w:t>Cash Eruption Hephaestus</w:t>
      </w:r>
      <w:r w:rsidRPr="003273E2">
        <w:rPr>
          <w:rFonts w:ascii="Calibri" w:hAnsi="Calibri" w:cs="Calibri"/>
          <w:i/>
          <w:iCs/>
          <w:sz w:val="22"/>
          <w:szCs w:val="22"/>
          <w:vertAlign w:val="superscript"/>
        </w:rPr>
        <w:t>™</w:t>
      </w:r>
      <w:r w:rsidRPr="005600B0">
        <w:rPr>
          <w:rFonts w:ascii="Calibri" w:hAnsi="Calibri" w:cs="Calibri"/>
          <w:sz w:val="22"/>
          <w:szCs w:val="22"/>
        </w:rPr>
        <w:t xml:space="preserve">, </w:t>
      </w:r>
      <w:r w:rsidRPr="005600B0">
        <w:rPr>
          <w:rFonts w:ascii="Calibri" w:hAnsi="Calibri" w:cs="Calibri"/>
          <w:i/>
          <w:iCs/>
          <w:sz w:val="22"/>
          <w:szCs w:val="22"/>
        </w:rPr>
        <w:t>Cash Eruption Red Hot Joker</w:t>
      </w:r>
      <w:r w:rsidRPr="003273E2">
        <w:rPr>
          <w:rFonts w:ascii="Calibri" w:hAnsi="Calibri" w:cs="Calibri"/>
          <w:i/>
          <w:iCs/>
          <w:sz w:val="22"/>
          <w:szCs w:val="22"/>
          <w:vertAlign w:val="superscript"/>
        </w:rPr>
        <w:t>™</w:t>
      </w:r>
      <w:r w:rsidRPr="002C342B">
        <w:rPr>
          <w:rFonts w:ascii="Calibri" w:hAnsi="Calibri" w:cs="Calibri"/>
          <w:sz w:val="22"/>
          <w:szCs w:val="22"/>
        </w:rPr>
        <w:t xml:space="preserve"> </w:t>
      </w:r>
      <w:r w:rsidRPr="005600B0">
        <w:rPr>
          <w:rFonts w:ascii="Calibri" w:hAnsi="Calibri" w:cs="Calibri"/>
          <w:sz w:val="22"/>
          <w:szCs w:val="22"/>
        </w:rPr>
        <w:t xml:space="preserve">and </w:t>
      </w:r>
      <w:r w:rsidRPr="005600B0">
        <w:rPr>
          <w:rFonts w:ascii="Calibri" w:hAnsi="Calibri" w:cs="Calibri"/>
          <w:i/>
          <w:iCs/>
          <w:sz w:val="22"/>
          <w:szCs w:val="22"/>
        </w:rPr>
        <w:t>Cash Eruption Temple of Fire</w:t>
      </w:r>
      <w:r w:rsidRPr="003273E2">
        <w:rPr>
          <w:rFonts w:ascii="Calibri" w:hAnsi="Calibri" w:cs="Calibri"/>
          <w:i/>
          <w:iCs/>
          <w:sz w:val="22"/>
          <w:szCs w:val="22"/>
          <w:vertAlign w:val="superscript"/>
        </w:rPr>
        <w:t>™</w:t>
      </w:r>
      <w:r w:rsidRPr="005600B0">
        <w:rPr>
          <w:rFonts w:ascii="Calibri" w:hAnsi="Calibri" w:cs="Calibri"/>
          <w:i/>
          <w:iCs/>
          <w:sz w:val="22"/>
          <w:szCs w:val="22"/>
        </w:rPr>
        <w:t>.</w:t>
      </w:r>
      <w:r w:rsidRPr="005600B0">
        <w:rPr>
          <w:rFonts w:ascii="Calibri" w:hAnsi="Calibri" w:cs="Calibri"/>
          <w:sz w:val="22"/>
          <w:szCs w:val="22"/>
        </w:rPr>
        <w:t xml:space="preserve"> Slot cabinets featuring these games are now</w:t>
      </w:r>
      <w:r w:rsidR="0081623E">
        <w:rPr>
          <w:rFonts w:ascii="Calibri" w:hAnsi="Calibri" w:cs="Calibri"/>
          <w:sz w:val="22"/>
          <w:szCs w:val="22"/>
        </w:rPr>
        <w:t xml:space="preserve"> exclusively</w:t>
      </w:r>
      <w:r w:rsidRPr="005600B0">
        <w:rPr>
          <w:rFonts w:ascii="Calibri" w:hAnsi="Calibri" w:cs="Calibri"/>
          <w:sz w:val="22"/>
          <w:szCs w:val="22"/>
        </w:rPr>
        <w:t xml:space="preserve"> live at Caesars Atlantic City, Harrah’s Resort Atlantic City and Tropicana Atlantic City</w:t>
      </w:r>
      <w:r w:rsidR="009115E9">
        <w:rPr>
          <w:rFonts w:ascii="Calibri" w:hAnsi="Calibri" w:cs="Calibri"/>
          <w:sz w:val="22"/>
          <w:szCs w:val="22"/>
        </w:rPr>
        <w:t>,</w:t>
      </w:r>
      <w:r w:rsidR="0004714C">
        <w:rPr>
          <w:rFonts w:ascii="Calibri" w:hAnsi="Calibri" w:cs="Calibri"/>
          <w:sz w:val="22"/>
          <w:szCs w:val="22"/>
        </w:rPr>
        <w:t xml:space="preserve"> </w:t>
      </w:r>
      <w:r w:rsidR="00557CBF" w:rsidRPr="00557CBF">
        <w:rPr>
          <w:rFonts w:ascii="Calibri" w:hAnsi="Calibri" w:cs="Calibri"/>
          <w:sz w:val="22"/>
          <w:szCs w:val="22"/>
        </w:rPr>
        <w:t xml:space="preserve">marking the </w:t>
      </w:r>
      <w:r w:rsidR="00557CBF" w:rsidRPr="00557CBF">
        <w:rPr>
          <w:rFonts w:ascii="Calibri" w:hAnsi="Calibri" w:cs="Calibri"/>
          <w:i/>
          <w:iCs/>
          <w:sz w:val="22"/>
          <w:szCs w:val="22"/>
        </w:rPr>
        <w:t>Cash Eruption</w:t>
      </w:r>
      <w:r w:rsidR="00557CBF" w:rsidRPr="00557CBF">
        <w:rPr>
          <w:rFonts w:ascii="Calibri" w:hAnsi="Calibri" w:cs="Calibri"/>
          <w:sz w:val="22"/>
          <w:szCs w:val="22"/>
        </w:rPr>
        <w:t xml:space="preserve"> franchise’s arrival on casino floors</w:t>
      </w:r>
      <w:r w:rsidR="0081623E">
        <w:rPr>
          <w:rFonts w:ascii="Calibri" w:hAnsi="Calibri" w:cs="Calibri"/>
          <w:sz w:val="22"/>
          <w:szCs w:val="22"/>
        </w:rPr>
        <w:t>.</w:t>
      </w:r>
    </w:p>
    <w:p w14:paraId="539F88FB" w14:textId="77777777" w:rsidR="002B16F9" w:rsidRDefault="002B16F9" w:rsidP="00C24D87">
      <w:pPr>
        <w:rPr>
          <w:rFonts w:ascii="Calibri" w:hAnsi="Calibri" w:cs="Calibri"/>
          <w:sz w:val="22"/>
          <w:szCs w:val="22"/>
        </w:rPr>
      </w:pPr>
    </w:p>
    <w:p w14:paraId="7B2E988E" w14:textId="7B4DE4AB" w:rsidR="00F571AF" w:rsidRDefault="00FA27B9" w:rsidP="00C24D87">
      <w:pPr>
        <w:rPr>
          <w:rFonts w:ascii="Calibri" w:hAnsi="Calibri" w:cs="Calibri"/>
          <w:sz w:val="22"/>
          <w:szCs w:val="22"/>
        </w:rPr>
      </w:pPr>
      <w:r w:rsidRPr="00FA27B9">
        <w:rPr>
          <w:rFonts w:ascii="Calibri" w:hAnsi="Calibri" w:cs="Calibri"/>
          <w:sz w:val="22"/>
          <w:szCs w:val="22"/>
        </w:rPr>
        <w:t>“</w:t>
      </w:r>
      <w:r w:rsidRPr="00FA27B9">
        <w:rPr>
          <w:rFonts w:ascii="Calibri" w:hAnsi="Calibri" w:cs="Calibri"/>
          <w:i/>
          <w:iCs/>
          <w:sz w:val="22"/>
          <w:szCs w:val="22"/>
        </w:rPr>
        <w:t>Cash Eruption</w:t>
      </w:r>
      <w:r w:rsidRPr="00FA27B9">
        <w:rPr>
          <w:rFonts w:ascii="Calibri" w:hAnsi="Calibri" w:cs="Calibri"/>
          <w:sz w:val="22"/>
          <w:szCs w:val="22"/>
        </w:rPr>
        <w:t xml:space="preserve"> has been one of the most successful and engaging game families on our platforms, and introducing these new titles on our casino floors gives players a new way to experience one of our top-performing offerings,” said Matthew Sunderland, Senior Vice President and Chief iGaming Officer at Caesars Digital. “The games have delivered memorable jackpot moments for players online and bringing that same experience to life in person is a key part of our strategy as we continue to connect our online platforms with our destinations.”</w:t>
      </w:r>
    </w:p>
    <w:p w14:paraId="5B2D37CE" w14:textId="77777777" w:rsidR="00FA27B9" w:rsidRDefault="00FA27B9" w:rsidP="00C24D87">
      <w:pPr>
        <w:rPr>
          <w:rFonts w:ascii="Calibri" w:hAnsi="Calibri" w:cs="Calibri"/>
          <w:sz w:val="22"/>
          <w:szCs w:val="22"/>
        </w:rPr>
      </w:pPr>
    </w:p>
    <w:p w14:paraId="180BD2FA" w14:textId="5313BC25" w:rsidR="00935318" w:rsidRDefault="00057E72" w:rsidP="001743B9">
      <w:pPr>
        <w:rPr>
          <w:rFonts w:ascii="Calibri" w:hAnsi="Calibri" w:cs="Calibri"/>
          <w:sz w:val="22"/>
          <w:szCs w:val="22"/>
        </w:rPr>
      </w:pPr>
      <w:r w:rsidRPr="00057E72">
        <w:rPr>
          <w:rFonts w:ascii="Calibri" w:hAnsi="Calibri" w:cs="Calibri"/>
          <w:sz w:val="22"/>
          <w:szCs w:val="22"/>
        </w:rPr>
        <w:t xml:space="preserve">To commemorate the launch, Caesars and IGT hosted social media influencer NJ Slot </w:t>
      </w:r>
      <w:proofErr w:type="gramStart"/>
      <w:r w:rsidR="00C6437C" w:rsidRPr="00057E72">
        <w:rPr>
          <w:rFonts w:ascii="Calibri" w:hAnsi="Calibri" w:cs="Calibri"/>
          <w:sz w:val="22"/>
          <w:szCs w:val="22"/>
        </w:rPr>
        <w:t>Guy (</w:t>
      </w:r>
      <w:r w:rsidR="00C6437C">
        <w:rPr>
          <w:rFonts w:ascii="Calibri" w:hAnsi="Calibri" w:cs="Calibri"/>
          <w:sz w:val="22"/>
          <w:szCs w:val="22"/>
        </w:rPr>
        <w:t>@</w:t>
      </w:r>
      <w:proofErr w:type="gramEnd"/>
      <w:r w:rsidRPr="00057E72">
        <w:rPr>
          <w:rFonts w:ascii="Calibri" w:hAnsi="Calibri" w:cs="Calibri"/>
          <w:sz w:val="22"/>
          <w:szCs w:val="22"/>
        </w:rPr>
        <w:t xml:space="preserve">NJ_Slot_Guy) at Caesars Atlantic City for a ceremonial first spin on the new titles, kicking off a series of on-property experiences. Highlighting the activation is a giant volcano-themed marble racing game, where players can participate for on-the-spot prizes. Additional events and </w:t>
      </w:r>
      <w:r>
        <w:rPr>
          <w:rFonts w:ascii="Calibri" w:hAnsi="Calibri" w:cs="Calibri"/>
          <w:sz w:val="22"/>
          <w:szCs w:val="22"/>
        </w:rPr>
        <w:t xml:space="preserve">custom </w:t>
      </w:r>
      <w:r w:rsidRPr="00057E72">
        <w:rPr>
          <w:rFonts w:ascii="Calibri" w:hAnsi="Calibri" w:cs="Calibri"/>
          <w:sz w:val="22"/>
          <w:szCs w:val="22"/>
        </w:rPr>
        <w:t>omnichannel marketing initiatives will continue throughout the summer for both online and in-person players.</w:t>
      </w:r>
    </w:p>
    <w:p w14:paraId="534AD4C0" w14:textId="77777777" w:rsidR="00057E72" w:rsidRDefault="00057E72" w:rsidP="001743B9">
      <w:pPr>
        <w:rPr>
          <w:rFonts w:ascii="Calibri" w:hAnsi="Calibri" w:cs="Calibri"/>
          <w:sz w:val="22"/>
          <w:szCs w:val="22"/>
        </w:rPr>
      </w:pPr>
    </w:p>
    <w:p w14:paraId="6267E714" w14:textId="330908EE" w:rsidR="00AF1847" w:rsidRDefault="00AF1847" w:rsidP="001743B9">
      <w:pPr>
        <w:rPr>
          <w:rFonts w:ascii="Calibri" w:hAnsi="Calibri" w:cs="Calibri"/>
          <w:sz w:val="22"/>
          <w:szCs w:val="22"/>
        </w:rPr>
      </w:pPr>
      <w:r w:rsidRPr="00AF1847">
        <w:rPr>
          <w:rFonts w:ascii="Calibri" w:hAnsi="Calibri" w:cs="Calibri"/>
          <w:sz w:val="22"/>
          <w:szCs w:val="22"/>
        </w:rPr>
        <w:t xml:space="preserve">“Welcoming </w:t>
      </w:r>
      <w:r w:rsidR="00941AF0">
        <w:rPr>
          <w:rFonts w:ascii="Calibri" w:hAnsi="Calibri" w:cs="Calibri"/>
          <w:sz w:val="22"/>
          <w:szCs w:val="22"/>
        </w:rPr>
        <w:t xml:space="preserve">the latest </w:t>
      </w:r>
      <w:r w:rsidR="00F2631B" w:rsidRPr="00891FA0">
        <w:rPr>
          <w:rFonts w:ascii="Calibri" w:hAnsi="Calibri" w:cs="Calibri"/>
          <w:i/>
          <w:iCs/>
          <w:sz w:val="22"/>
          <w:szCs w:val="22"/>
        </w:rPr>
        <w:t>Cash Eruption</w:t>
      </w:r>
      <w:r w:rsidR="00F2631B" w:rsidRPr="00891FA0">
        <w:rPr>
          <w:rFonts w:ascii="Calibri" w:hAnsi="Calibri" w:cs="Calibri"/>
          <w:sz w:val="22"/>
          <w:szCs w:val="22"/>
        </w:rPr>
        <w:t xml:space="preserve"> </w:t>
      </w:r>
      <w:r w:rsidR="00941AF0">
        <w:rPr>
          <w:rFonts w:ascii="Calibri" w:hAnsi="Calibri" w:cs="Calibri"/>
          <w:sz w:val="22"/>
          <w:szCs w:val="22"/>
        </w:rPr>
        <w:t xml:space="preserve">titles </w:t>
      </w:r>
      <w:r w:rsidRPr="00AF1847">
        <w:rPr>
          <w:rFonts w:ascii="Calibri" w:hAnsi="Calibri" w:cs="Calibri"/>
          <w:sz w:val="22"/>
          <w:szCs w:val="22"/>
        </w:rPr>
        <w:t xml:space="preserve">to our casino floor is a great example of how </w:t>
      </w:r>
      <w:r>
        <w:rPr>
          <w:rFonts w:ascii="Calibri" w:hAnsi="Calibri" w:cs="Calibri"/>
          <w:sz w:val="22"/>
          <w:szCs w:val="22"/>
        </w:rPr>
        <w:t>we as a company</w:t>
      </w:r>
      <w:r w:rsidRPr="00AF1847">
        <w:rPr>
          <w:rFonts w:ascii="Calibri" w:hAnsi="Calibri" w:cs="Calibri"/>
          <w:sz w:val="22"/>
          <w:szCs w:val="22"/>
        </w:rPr>
        <w:t xml:space="preserve"> continue to connect </w:t>
      </w:r>
      <w:r>
        <w:rPr>
          <w:rFonts w:ascii="Calibri" w:hAnsi="Calibri" w:cs="Calibri"/>
          <w:sz w:val="22"/>
          <w:szCs w:val="22"/>
        </w:rPr>
        <w:t>our</w:t>
      </w:r>
      <w:r w:rsidRPr="00AF1847">
        <w:rPr>
          <w:rFonts w:ascii="Calibri" w:hAnsi="Calibri" w:cs="Calibri"/>
          <w:sz w:val="22"/>
          <w:szCs w:val="22"/>
        </w:rPr>
        <w:t xml:space="preserve"> digital platforms with our destinations in Atlantic City,” said Jacob Witmer, Senior Vice President and General Manager of Caesars Atlantic City. </w:t>
      </w:r>
      <w:r w:rsidR="009C02B0" w:rsidRPr="009C02B0">
        <w:rPr>
          <w:rFonts w:ascii="Calibri" w:hAnsi="Calibri" w:cs="Calibri"/>
          <w:sz w:val="22"/>
          <w:szCs w:val="22"/>
        </w:rPr>
        <w:t>“This launch gives our players a new way to engage with a franchise they already know and enjoy, while enhancing the overall entertainment experiences we offer on property.”</w:t>
      </w:r>
    </w:p>
    <w:p w14:paraId="33259AAF" w14:textId="77777777" w:rsidR="00834AD2" w:rsidRDefault="00834AD2" w:rsidP="001743B9">
      <w:pPr>
        <w:rPr>
          <w:rFonts w:ascii="Calibri" w:hAnsi="Calibri" w:cs="Calibri"/>
          <w:sz w:val="22"/>
          <w:szCs w:val="22"/>
        </w:rPr>
      </w:pPr>
    </w:p>
    <w:p w14:paraId="14FCB4D5" w14:textId="22DC6D30" w:rsidR="00834AD2" w:rsidRPr="00891FA0" w:rsidRDefault="00834AD2" w:rsidP="001743B9">
      <w:pPr>
        <w:rPr>
          <w:rFonts w:ascii="Calibri" w:hAnsi="Calibri" w:cs="Calibri"/>
          <w:sz w:val="22"/>
          <w:szCs w:val="22"/>
        </w:rPr>
      </w:pPr>
      <w:r w:rsidRPr="00814ACE">
        <w:rPr>
          <w:rFonts w:ascii="Calibri" w:hAnsi="Calibri" w:cs="Calibri"/>
          <w:sz w:val="22"/>
          <w:szCs w:val="22"/>
        </w:rPr>
        <w:t xml:space="preserve">The </w:t>
      </w:r>
      <w:r w:rsidRPr="006D5836">
        <w:rPr>
          <w:rFonts w:ascii="Calibri" w:hAnsi="Calibri" w:cs="Calibri"/>
          <w:i/>
          <w:iCs/>
          <w:sz w:val="22"/>
          <w:szCs w:val="22"/>
        </w:rPr>
        <w:t>Cash Eruption</w:t>
      </w:r>
      <w:r w:rsidRPr="00814ACE">
        <w:rPr>
          <w:rFonts w:ascii="Calibri" w:hAnsi="Calibri" w:cs="Calibri"/>
          <w:sz w:val="22"/>
          <w:szCs w:val="22"/>
        </w:rPr>
        <w:t xml:space="preserve"> franchise has become a standout across Caesars’ online casino platforms, known for its recognizable theme, engaging gameplay and strong player appeal. Across Caesars’ online casino platforms, titles within the </w:t>
      </w:r>
      <w:r w:rsidRPr="006D5836">
        <w:rPr>
          <w:rFonts w:ascii="Calibri" w:hAnsi="Calibri" w:cs="Calibri"/>
          <w:i/>
          <w:iCs/>
          <w:sz w:val="22"/>
          <w:szCs w:val="22"/>
        </w:rPr>
        <w:t>Cash Eruption</w:t>
      </w:r>
      <w:r w:rsidRPr="00814ACE">
        <w:rPr>
          <w:rFonts w:ascii="Calibri" w:hAnsi="Calibri" w:cs="Calibri"/>
          <w:sz w:val="22"/>
          <w:szCs w:val="22"/>
        </w:rPr>
        <w:t xml:space="preserve"> family have delivered headline-making jackpot moments for </w:t>
      </w:r>
      <w:r w:rsidRPr="00814ACE">
        <w:rPr>
          <w:rFonts w:ascii="Calibri" w:hAnsi="Calibri" w:cs="Calibri"/>
          <w:sz w:val="22"/>
          <w:szCs w:val="22"/>
        </w:rPr>
        <w:lastRenderedPageBreak/>
        <w:t>players, including the largest online jackpot in Company history, a $1.24 million win earlier this year, along with more than $1.1 million in jackpots awarded over a seven-day span in 2025.</w:t>
      </w:r>
    </w:p>
    <w:p w14:paraId="7CC0E4A7" w14:textId="77777777" w:rsidR="007E1B08" w:rsidRPr="00891FA0" w:rsidRDefault="007E1B08" w:rsidP="001743B9">
      <w:pPr>
        <w:rPr>
          <w:rFonts w:ascii="Calibri" w:hAnsi="Calibri" w:cs="Calibri"/>
          <w:sz w:val="22"/>
          <w:szCs w:val="22"/>
        </w:rPr>
      </w:pPr>
    </w:p>
    <w:p w14:paraId="12D444B9" w14:textId="5FBB8457" w:rsidR="009B79C4" w:rsidRDefault="004605DE" w:rsidP="00827FC2">
      <w:pPr>
        <w:rPr>
          <w:rFonts w:ascii="Calibri" w:hAnsi="Calibri" w:cs="Calibri"/>
          <w:sz w:val="22"/>
          <w:szCs w:val="22"/>
        </w:rPr>
      </w:pPr>
      <w:r w:rsidRPr="004605DE">
        <w:rPr>
          <w:rFonts w:ascii="Calibri" w:hAnsi="Calibri" w:cs="Calibri"/>
          <w:sz w:val="22"/>
          <w:szCs w:val="22"/>
        </w:rPr>
        <w:t>“Introducing these new IGT Cash Eruption titles on the casino floor with Caesars marks an exciting extension of one of our most popular game families,” said Dan Farnon, IGT S</w:t>
      </w:r>
      <w:r w:rsidR="00EE33B3">
        <w:rPr>
          <w:rFonts w:ascii="Calibri" w:hAnsi="Calibri" w:cs="Calibri"/>
          <w:sz w:val="22"/>
          <w:szCs w:val="22"/>
        </w:rPr>
        <w:t xml:space="preserve">enior </w:t>
      </w:r>
      <w:r w:rsidRPr="004605DE">
        <w:rPr>
          <w:rFonts w:ascii="Calibri" w:hAnsi="Calibri" w:cs="Calibri"/>
          <w:sz w:val="22"/>
          <w:szCs w:val="22"/>
        </w:rPr>
        <w:t>V</w:t>
      </w:r>
      <w:r w:rsidR="00EE33B3">
        <w:rPr>
          <w:rFonts w:ascii="Calibri" w:hAnsi="Calibri" w:cs="Calibri"/>
          <w:sz w:val="22"/>
          <w:szCs w:val="22"/>
        </w:rPr>
        <w:t xml:space="preserve">ice </w:t>
      </w:r>
      <w:r w:rsidRPr="004605DE">
        <w:rPr>
          <w:rFonts w:ascii="Calibri" w:hAnsi="Calibri" w:cs="Calibri"/>
          <w:sz w:val="22"/>
          <w:szCs w:val="22"/>
        </w:rPr>
        <w:t>P</w:t>
      </w:r>
      <w:r w:rsidR="00EE33B3">
        <w:rPr>
          <w:rFonts w:ascii="Calibri" w:hAnsi="Calibri" w:cs="Calibri"/>
          <w:sz w:val="22"/>
          <w:szCs w:val="22"/>
        </w:rPr>
        <w:t>resident</w:t>
      </w:r>
      <w:r w:rsidRPr="004605DE">
        <w:rPr>
          <w:rFonts w:ascii="Calibri" w:hAnsi="Calibri" w:cs="Calibri"/>
          <w:sz w:val="22"/>
          <w:szCs w:val="22"/>
        </w:rPr>
        <w:t>, Sales USA. “This launch highlights the strength of our collaboration and our shared focus on delivering engaging experiences for players across both digital and land-based channels.”</w:t>
      </w:r>
    </w:p>
    <w:p w14:paraId="266D66C0" w14:textId="77777777" w:rsidR="004605DE" w:rsidRPr="00891FA0" w:rsidRDefault="004605DE" w:rsidP="00827FC2">
      <w:pPr>
        <w:rPr>
          <w:rFonts w:ascii="Calibri" w:hAnsi="Calibri" w:cs="Calibri"/>
          <w:sz w:val="22"/>
          <w:szCs w:val="22"/>
        </w:rPr>
      </w:pPr>
    </w:p>
    <w:p w14:paraId="0A492DBE" w14:textId="4EE5C3FA" w:rsidR="008321EA" w:rsidRDefault="00AC2F48" w:rsidP="008321EA">
      <w:pPr>
        <w:rPr>
          <w:rFonts w:ascii="Calibri" w:hAnsi="Calibri" w:cs="Calibri"/>
          <w:sz w:val="22"/>
          <w:szCs w:val="22"/>
        </w:rPr>
      </w:pPr>
      <w:r w:rsidRPr="009D3C29">
        <w:rPr>
          <w:rFonts w:ascii="Calibri" w:hAnsi="Calibri" w:cs="Calibri"/>
          <w:sz w:val="22"/>
          <w:szCs w:val="22"/>
        </w:rPr>
        <w:t xml:space="preserve">Those 21 and older </w:t>
      </w:r>
      <w:r>
        <w:rPr>
          <w:rFonts w:ascii="Calibri" w:hAnsi="Calibri" w:cs="Calibri"/>
          <w:sz w:val="22"/>
          <w:szCs w:val="22"/>
        </w:rPr>
        <w:t>can</w:t>
      </w:r>
      <w:r w:rsidRPr="009D3C29">
        <w:rPr>
          <w:rFonts w:ascii="Calibri" w:hAnsi="Calibri" w:cs="Calibri"/>
          <w:sz w:val="22"/>
          <w:szCs w:val="22"/>
        </w:rPr>
        <w:t xml:space="preserve"> </w:t>
      </w:r>
      <w:hyperlink r:id="rId8" w:history="1">
        <w:r>
          <w:rPr>
            <w:rStyle w:val="Hyperlink"/>
            <w:rFonts w:ascii="Calibri" w:hAnsi="Calibri" w:cs="Calibri"/>
            <w:sz w:val="22"/>
            <w:szCs w:val="22"/>
          </w:rPr>
          <w:t>download</w:t>
        </w:r>
      </w:hyperlink>
      <w:r w:rsidRPr="009D3C29">
        <w:rPr>
          <w:rFonts w:ascii="Calibri" w:hAnsi="Calibri" w:cs="Calibri"/>
          <w:sz w:val="22"/>
          <w:szCs w:val="22"/>
        </w:rPr>
        <w:t xml:space="preserve"> the Caesars Palace Online Casino, Horseshoe Online Casino or Caesars Sportsbook &amp; Casino apps on iOS or </w:t>
      </w:r>
      <w:proofErr w:type="gramStart"/>
      <w:r w:rsidRPr="009D3C29">
        <w:rPr>
          <w:rFonts w:ascii="Calibri" w:hAnsi="Calibri" w:cs="Calibri"/>
          <w:sz w:val="22"/>
          <w:szCs w:val="22"/>
        </w:rPr>
        <w:t>Android, or</w:t>
      </w:r>
      <w:proofErr w:type="gramEnd"/>
      <w:r w:rsidRPr="009D3C29">
        <w:rPr>
          <w:rFonts w:ascii="Calibri" w:hAnsi="Calibri" w:cs="Calibri"/>
          <w:sz w:val="22"/>
          <w:szCs w:val="22"/>
        </w:rPr>
        <w:t xml:space="preserve"> </w:t>
      </w:r>
      <w:r>
        <w:rPr>
          <w:rFonts w:ascii="Calibri" w:hAnsi="Calibri" w:cs="Calibri"/>
          <w:sz w:val="22"/>
          <w:szCs w:val="22"/>
        </w:rPr>
        <w:t>visit</w:t>
      </w:r>
      <w:r w:rsidRPr="009D3C29">
        <w:rPr>
          <w:rFonts w:ascii="Calibri" w:hAnsi="Calibri" w:cs="Calibri"/>
          <w:sz w:val="22"/>
          <w:szCs w:val="22"/>
        </w:rPr>
        <w:t xml:space="preserve"> the platforms on desktop. These platforms are available in </w:t>
      </w:r>
      <w:r>
        <w:rPr>
          <w:rFonts w:ascii="Calibri" w:hAnsi="Calibri" w:cs="Calibri"/>
          <w:sz w:val="22"/>
          <w:szCs w:val="22"/>
        </w:rPr>
        <w:t xml:space="preserve">New Jersey, </w:t>
      </w:r>
      <w:r w:rsidRPr="009D3C29">
        <w:rPr>
          <w:rFonts w:ascii="Calibri" w:hAnsi="Calibri" w:cs="Calibri"/>
          <w:sz w:val="22"/>
          <w:szCs w:val="22"/>
        </w:rPr>
        <w:t>Pennsylvania, Michigan, Ontario and West Virginia, offering a dynamic online casino experience that features Caesars-branded games, timeless casino classics and unique titles from top</w:t>
      </w:r>
      <w:r>
        <w:rPr>
          <w:rFonts w:ascii="Calibri" w:hAnsi="Calibri" w:cs="Calibri"/>
          <w:sz w:val="22"/>
          <w:szCs w:val="22"/>
        </w:rPr>
        <w:t xml:space="preserve"> </w:t>
      </w:r>
      <w:r w:rsidRPr="009D3C29">
        <w:rPr>
          <w:rFonts w:ascii="Calibri" w:hAnsi="Calibri" w:cs="Calibri"/>
          <w:sz w:val="22"/>
          <w:szCs w:val="22"/>
        </w:rPr>
        <w:t xml:space="preserve">providers. Additionally, each platform integrates </w:t>
      </w:r>
      <w:hyperlink r:id="rId9" w:history="1">
        <w:r w:rsidRPr="009D3C29">
          <w:rPr>
            <w:rStyle w:val="Hyperlink"/>
            <w:rFonts w:ascii="Calibri" w:hAnsi="Calibri" w:cs="Calibri"/>
            <w:sz w:val="22"/>
            <w:szCs w:val="22"/>
          </w:rPr>
          <w:t>Caesars Rewards</w:t>
        </w:r>
      </w:hyperlink>
      <w:r w:rsidRPr="009D3C29">
        <w:rPr>
          <w:rFonts w:ascii="Calibri" w:hAnsi="Calibri" w:cs="Calibri"/>
          <w:sz w:val="22"/>
          <w:szCs w:val="22"/>
        </w:rPr>
        <w:t>, the Company's industry-leading loyalty program</w:t>
      </w:r>
      <w:r>
        <w:rPr>
          <w:rFonts w:ascii="Calibri" w:hAnsi="Calibri" w:cs="Calibri"/>
          <w:sz w:val="22"/>
          <w:szCs w:val="22"/>
        </w:rPr>
        <w:t>,</w:t>
      </w:r>
      <w:r w:rsidRPr="009D3C29">
        <w:rPr>
          <w:rFonts w:ascii="Calibri" w:hAnsi="Calibri" w:cs="Calibri"/>
          <w:sz w:val="22"/>
          <w:szCs w:val="22"/>
        </w:rPr>
        <w:t xml:space="preserve"> allowing players in the United States to earn Caesars Rewards Credits redeemable for unforgettable experiences at more than 50 world-class Caesars Rewards destinations across North America.</w:t>
      </w:r>
    </w:p>
    <w:p w14:paraId="4AA0F12E" w14:textId="77777777" w:rsidR="00AC2F48" w:rsidRPr="00891FA0" w:rsidRDefault="00AC2F48" w:rsidP="008321EA">
      <w:pPr>
        <w:rPr>
          <w:rFonts w:ascii="Calibri" w:hAnsi="Calibri" w:cs="Calibri"/>
          <w:sz w:val="22"/>
          <w:szCs w:val="22"/>
        </w:rPr>
      </w:pPr>
    </w:p>
    <w:p w14:paraId="343F8EE7" w14:textId="77777777" w:rsidR="004F1307" w:rsidRPr="00891FA0" w:rsidRDefault="004F1307" w:rsidP="004F1307">
      <w:pPr>
        <w:pStyle w:val="NormalWeb"/>
        <w:spacing w:line="252" w:lineRule="auto"/>
        <w:rPr>
          <w:rFonts w:ascii="Calibri" w:hAnsi="Calibri" w:cs="Calibri"/>
          <w:sz w:val="22"/>
          <w:szCs w:val="22"/>
        </w:rPr>
      </w:pPr>
      <w:r w:rsidRPr="00891FA0">
        <w:rPr>
          <w:rFonts w:ascii="Calibri" w:hAnsi="Calibri" w:cs="Calibri"/>
          <w:sz w:val="22"/>
          <w:szCs w:val="22"/>
        </w:rPr>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w:t>
      </w:r>
      <w:proofErr w:type="gramStart"/>
      <w:r w:rsidRPr="00891FA0">
        <w:rPr>
          <w:rFonts w:ascii="Calibri" w:hAnsi="Calibri" w:cs="Calibri"/>
          <w:sz w:val="22"/>
          <w:szCs w:val="22"/>
        </w:rPr>
        <w:t>are</w:t>
      </w:r>
      <w:proofErr w:type="gramEnd"/>
      <w:r w:rsidRPr="00891FA0">
        <w:rPr>
          <w:rFonts w:ascii="Calibri" w:hAnsi="Calibri" w:cs="Calibri"/>
          <w:sz w:val="22"/>
          <w:szCs w:val="22"/>
        </w:rPr>
        <w:t xml:space="preserv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055A0CA3" w14:textId="77777777" w:rsidR="004F1307" w:rsidRPr="00891FA0" w:rsidRDefault="004F1307" w:rsidP="004F1307">
      <w:pPr>
        <w:pStyle w:val="NormalWeb"/>
        <w:spacing w:line="252" w:lineRule="auto"/>
        <w:rPr>
          <w:rFonts w:ascii="Calibri" w:hAnsi="Calibri" w:cs="Calibri"/>
          <w:sz w:val="22"/>
          <w:szCs w:val="22"/>
        </w:rPr>
      </w:pPr>
    </w:p>
    <w:p w14:paraId="6AA37F16" w14:textId="77777777" w:rsidR="004F1307" w:rsidRDefault="004F1307" w:rsidP="004F1307">
      <w:pPr>
        <w:pStyle w:val="NormalWeb"/>
        <w:spacing w:line="252" w:lineRule="auto"/>
        <w:rPr>
          <w:rFonts w:ascii="Calibri" w:hAnsi="Calibri" w:cs="Calibri"/>
          <w:sz w:val="22"/>
          <w:szCs w:val="22"/>
        </w:rPr>
      </w:pPr>
      <w:r w:rsidRPr="00891FA0">
        <w:rPr>
          <w:rFonts w:ascii="Calibri" w:hAnsi="Calibri" w:cs="Calibri"/>
          <w:sz w:val="22"/>
          <w:szCs w:val="22"/>
        </w:rPr>
        <w:t xml:space="preserve">In March 2024, Caesars Sportsbook received the prestigious </w:t>
      </w:r>
      <w:hyperlink r:id="rId10" w:history="1">
        <w:r w:rsidRPr="00891FA0">
          <w:rPr>
            <w:rStyle w:val="Hyperlink"/>
            <w:rFonts w:ascii="Calibri" w:hAnsi="Calibri" w:cs="Calibri"/>
            <w:sz w:val="22"/>
            <w:szCs w:val="22"/>
          </w:rPr>
          <w:t>RG Check accreditation</w:t>
        </w:r>
      </w:hyperlink>
      <w:r w:rsidRPr="00891FA0">
        <w:rPr>
          <w:rFonts w:ascii="Calibri" w:hAnsi="Calibri" w:cs="Calibri"/>
          <w:sz w:val="22"/>
          <w:szCs w:val="22"/>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11" w:history="1">
        <w:r w:rsidRPr="00891FA0">
          <w:rPr>
            <w:rStyle w:val="Hyperlink"/>
            <w:rFonts w:ascii="Calibri" w:hAnsi="Calibri" w:cs="Calibri"/>
            <w:sz w:val="22"/>
            <w:szCs w:val="22"/>
          </w:rPr>
          <w:t>https://www.caesars.com/corporate</w:t>
        </w:r>
      </w:hyperlink>
      <w:r w:rsidRPr="00891FA0">
        <w:rPr>
          <w:rFonts w:ascii="Calibri" w:hAnsi="Calibri" w:cs="Calibri"/>
          <w:sz w:val="22"/>
          <w:szCs w:val="22"/>
        </w:rPr>
        <w:t>.</w:t>
      </w:r>
    </w:p>
    <w:p w14:paraId="02077AA8" w14:textId="77777777" w:rsidR="00E437CD" w:rsidRDefault="00E437CD" w:rsidP="004F1307">
      <w:pPr>
        <w:pStyle w:val="NormalWeb"/>
        <w:spacing w:line="252" w:lineRule="auto"/>
        <w:rPr>
          <w:rFonts w:ascii="Calibri" w:hAnsi="Calibri" w:cs="Calibri"/>
          <w:sz w:val="22"/>
          <w:szCs w:val="22"/>
        </w:rPr>
      </w:pPr>
    </w:p>
    <w:p w14:paraId="5E8C8147" w14:textId="77777777" w:rsidR="00E437CD" w:rsidRPr="003D777D" w:rsidRDefault="00E437CD" w:rsidP="00E437CD">
      <w:pPr>
        <w:rPr>
          <w:rFonts w:ascii="Calibri" w:hAnsi="Calibri" w:cs="Calibri"/>
          <w:i/>
          <w:iCs/>
          <w:sz w:val="20"/>
          <w:szCs w:val="20"/>
        </w:rPr>
      </w:pPr>
      <w:r w:rsidRPr="003D777D">
        <w:rPr>
          <w:rFonts w:ascii="Calibri" w:hAnsi="Calibri" w:cs="Calibri"/>
          <w:i/>
          <w:iCs/>
          <w:sz w:val="20"/>
          <w:szCs w:val="20"/>
        </w:rPr>
        <w:t xml:space="preserve">**For downloadable high-res assets, click </w:t>
      </w:r>
      <w:hyperlink r:id="rId12" w:history="1">
        <w:r w:rsidRPr="00E437CD">
          <w:rPr>
            <w:rStyle w:val="Hyperlink"/>
            <w:rFonts w:ascii="Calibri" w:hAnsi="Calibri" w:cs="Calibri"/>
            <w:i/>
            <w:iCs/>
            <w:sz w:val="20"/>
            <w:szCs w:val="20"/>
          </w:rPr>
          <w:t>here</w:t>
        </w:r>
      </w:hyperlink>
      <w:r w:rsidRPr="00E437CD">
        <w:rPr>
          <w:rFonts w:ascii="Calibri" w:hAnsi="Calibri" w:cs="Calibri"/>
          <w:i/>
          <w:iCs/>
          <w:sz w:val="20"/>
          <w:szCs w:val="20"/>
        </w:rPr>
        <w:t>**</w:t>
      </w:r>
    </w:p>
    <w:p w14:paraId="659A35A8" w14:textId="77777777" w:rsidR="00022079" w:rsidRPr="00E92AEA" w:rsidRDefault="00022079" w:rsidP="00D738BF">
      <w:pPr>
        <w:rPr>
          <w:rFonts w:ascii="Calibri" w:hAnsi="Calibri" w:cs="Calibri"/>
          <w:sz w:val="22"/>
          <w:szCs w:val="22"/>
        </w:rPr>
      </w:pPr>
    </w:p>
    <w:p w14:paraId="5B1C6BDE" w14:textId="7C11B74B" w:rsidR="00D738BF" w:rsidRDefault="00D738BF" w:rsidP="00115F80">
      <w:pPr>
        <w:jc w:val="center"/>
        <w:rPr>
          <w:rFonts w:ascii="Calibri" w:hAnsi="Calibri" w:cs="Calibri"/>
          <w:i/>
          <w:iCs/>
          <w:sz w:val="22"/>
          <w:szCs w:val="22"/>
        </w:rPr>
      </w:pPr>
      <w:r w:rsidRPr="00891FA0">
        <w:rPr>
          <w:rFonts w:ascii="Calibri" w:hAnsi="Calibri" w:cs="Calibri"/>
          <w:i/>
          <w:iCs/>
          <w:sz w:val="22"/>
          <w:szCs w:val="22"/>
        </w:rPr>
        <w:t># # #</w:t>
      </w:r>
      <w:bookmarkEnd w:id="0"/>
    </w:p>
    <w:p w14:paraId="198CE3A1" w14:textId="77777777" w:rsidR="00115F80" w:rsidRPr="00115F80" w:rsidRDefault="00115F80" w:rsidP="00115F80">
      <w:pPr>
        <w:jc w:val="center"/>
        <w:rPr>
          <w:rFonts w:ascii="Calibri" w:hAnsi="Calibri" w:cs="Calibri"/>
          <w:i/>
          <w:iCs/>
          <w:sz w:val="22"/>
          <w:szCs w:val="22"/>
        </w:rPr>
      </w:pPr>
    </w:p>
    <w:p w14:paraId="6C630C79" w14:textId="033EAE71" w:rsidR="00D738BF" w:rsidRPr="00891FA0" w:rsidRDefault="00D738BF" w:rsidP="00D738BF">
      <w:pPr>
        <w:rPr>
          <w:rFonts w:ascii="Calibri" w:hAnsi="Calibri" w:cs="Calibri"/>
          <w:sz w:val="22"/>
          <w:szCs w:val="22"/>
        </w:rPr>
      </w:pPr>
      <w:r w:rsidRPr="00891FA0">
        <w:rPr>
          <w:rFonts w:ascii="Calibri" w:hAnsi="Calibri" w:cs="Calibri"/>
          <w:b/>
          <w:bCs/>
          <w:sz w:val="22"/>
          <w:szCs w:val="22"/>
          <w:u w:val="single"/>
        </w:rPr>
        <w:t xml:space="preserve">About Caesars Entertainment, Inc. </w:t>
      </w:r>
      <w:r w:rsidRPr="00891FA0">
        <w:rPr>
          <w:rFonts w:ascii="Calibri" w:hAnsi="Calibri" w:cs="Calibri"/>
          <w:sz w:val="22"/>
          <w:szCs w:val="22"/>
        </w:rPr>
        <w:b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w:t>
      </w:r>
      <w:r w:rsidRPr="00891FA0">
        <w:rPr>
          <w:rFonts w:ascii="Calibri" w:hAnsi="Calibri" w:cs="Calibri"/>
          <w:sz w:val="22"/>
          <w:szCs w:val="22"/>
        </w:rPr>
        <w:lastRenderedPageBreak/>
        <w:t xml:space="preserve">employees, suppliers, communities and the environment through its PEOPLE PLANET PLAY framework. Know When </w:t>
      </w:r>
      <w:proofErr w:type="gramStart"/>
      <w:r w:rsidRPr="00891FA0">
        <w:rPr>
          <w:rFonts w:ascii="Calibri" w:hAnsi="Calibri" w:cs="Calibri"/>
          <w:sz w:val="22"/>
          <w:szCs w:val="22"/>
        </w:rPr>
        <w:t>To</w:t>
      </w:r>
      <w:proofErr w:type="gramEnd"/>
      <w:r w:rsidRPr="00891FA0">
        <w:rPr>
          <w:rFonts w:ascii="Calibri" w:hAnsi="Calibri" w:cs="Calibri"/>
          <w:sz w:val="22"/>
          <w:szCs w:val="22"/>
        </w:rPr>
        <w:t xml:space="preserve"> Stop Before You Start®</w:t>
      </w:r>
      <w:r w:rsidR="000725E7" w:rsidRPr="00891FA0">
        <w:rPr>
          <w:rFonts w:ascii="Calibri" w:hAnsi="Calibri" w:cs="Calibri"/>
          <w:sz w:val="22"/>
          <w:szCs w:val="22"/>
        </w:rPr>
        <w:t>.</w:t>
      </w:r>
      <w:r w:rsidRPr="00891FA0">
        <w:rPr>
          <w:rFonts w:ascii="Calibri" w:hAnsi="Calibri" w:cs="Calibri"/>
          <w:sz w:val="22"/>
          <w:szCs w:val="22"/>
        </w:rPr>
        <w:t xml:space="preserve"> Gambling Problem? Call or text 1-800-GAMBLER. For more information, please visit </w:t>
      </w:r>
      <w:hyperlink r:id="rId13" w:history="1">
        <w:r w:rsidRPr="00891FA0">
          <w:rPr>
            <w:rStyle w:val="Hyperlink"/>
            <w:rFonts w:ascii="Calibri" w:hAnsi="Calibri" w:cs="Calibri"/>
            <w:sz w:val="22"/>
            <w:szCs w:val="22"/>
          </w:rPr>
          <w:t>www.caesars.com/corporate</w:t>
        </w:r>
      </w:hyperlink>
      <w:r w:rsidRPr="00891FA0">
        <w:rPr>
          <w:rFonts w:ascii="Calibri" w:hAnsi="Calibri" w:cs="Calibri"/>
          <w:sz w:val="22"/>
          <w:szCs w:val="22"/>
        </w:rPr>
        <w:t>.</w:t>
      </w:r>
    </w:p>
    <w:p w14:paraId="6A6EE5AE" w14:textId="77777777" w:rsidR="00C24F26" w:rsidRPr="00891FA0" w:rsidRDefault="00C24F26" w:rsidP="009D3C29">
      <w:pPr>
        <w:rPr>
          <w:rFonts w:ascii="Calibri" w:hAnsi="Calibri" w:cs="Calibri"/>
          <w:b/>
          <w:bCs/>
          <w:sz w:val="22"/>
          <w:szCs w:val="22"/>
          <w:u w:val="single"/>
        </w:rPr>
      </w:pPr>
    </w:p>
    <w:p w14:paraId="63BEDF14" w14:textId="77777777" w:rsidR="00A71216" w:rsidRPr="00891FA0" w:rsidRDefault="00A71216" w:rsidP="00A71216">
      <w:pPr>
        <w:rPr>
          <w:rFonts w:ascii="Calibri" w:hAnsi="Calibri" w:cs="Calibri"/>
          <w:sz w:val="22"/>
          <w:szCs w:val="22"/>
        </w:rPr>
      </w:pPr>
      <w:r w:rsidRPr="00891FA0">
        <w:rPr>
          <w:rFonts w:ascii="Calibri" w:hAnsi="Calibri" w:cs="Calibri"/>
          <w:b/>
          <w:bCs/>
          <w:sz w:val="22"/>
          <w:szCs w:val="22"/>
          <w:u w:val="single"/>
        </w:rPr>
        <w:t xml:space="preserve">Responsible Gaming </w:t>
      </w:r>
      <w:r w:rsidRPr="00891FA0">
        <w:rPr>
          <w:rFonts w:ascii="Calibri" w:hAnsi="Calibri" w:cs="Calibri"/>
          <w:b/>
          <w:bCs/>
          <w:sz w:val="22"/>
          <w:szCs w:val="22"/>
          <w:u w:val="single"/>
        </w:rPr>
        <w:br/>
      </w:r>
      <w:r w:rsidRPr="00891FA0">
        <w:rPr>
          <w:rFonts w:ascii="Calibri" w:hAnsi="Calibri" w:cs="Calibri"/>
          <w:b/>
          <w:bCs/>
          <w:sz w:val="22"/>
          <w:szCs w:val="22"/>
        </w:rPr>
        <w:t>Online Casino apps &amp; websites available in MI, NJ, PA, WV and ON only.</w:t>
      </w:r>
    </w:p>
    <w:p w14:paraId="2C80DB22" w14:textId="77777777" w:rsidR="00A71216" w:rsidRPr="00891FA0" w:rsidRDefault="00A71216" w:rsidP="00A71216">
      <w:pPr>
        <w:rPr>
          <w:rFonts w:ascii="Calibri" w:hAnsi="Calibri" w:cs="Calibri"/>
          <w:sz w:val="22"/>
          <w:szCs w:val="22"/>
        </w:rPr>
      </w:pPr>
      <w:r w:rsidRPr="00891FA0">
        <w:rPr>
          <w:rFonts w:ascii="Calibri" w:hAnsi="Calibri" w:cs="Calibri"/>
          <w:sz w:val="22"/>
          <w:szCs w:val="22"/>
        </w:rPr>
        <w:t xml:space="preserve">Must be 21+. See Caesars.com/sportsbook-and-casino, CaesarsPalaceOnline.com, or HorseshoeOnlineCasino.com for full terms. </w:t>
      </w:r>
      <w:proofErr w:type="gramStart"/>
      <w:r w:rsidRPr="00891FA0">
        <w:rPr>
          <w:rFonts w:ascii="Calibri" w:hAnsi="Calibri" w:cs="Calibri"/>
          <w:sz w:val="22"/>
          <w:szCs w:val="22"/>
        </w:rPr>
        <w:t>Void</w:t>
      </w:r>
      <w:proofErr w:type="gramEnd"/>
      <w:r w:rsidRPr="00891FA0">
        <w:rPr>
          <w:rFonts w:ascii="Calibri" w:hAnsi="Calibri" w:cs="Calibri"/>
          <w:sz w:val="22"/>
          <w:szCs w:val="22"/>
        </w:rPr>
        <w:t xml:space="preserve"> where prohibited. </w:t>
      </w:r>
    </w:p>
    <w:p w14:paraId="0D4200E4" w14:textId="77777777" w:rsidR="00A71216" w:rsidRPr="00891FA0" w:rsidRDefault="00A71216" w:rsidP="00A71216">
      <w:pPr>
        <w:rPr>
          <w:rFonts w:ascii="Calibri" w:hAnsi="Calibri" w:cs="Calibri"/>
          <w:sz w:val="22"/>
          <w:szCs w:val="22"/>
        </w:rPr>
      </w:pPr>
    </w:p>
    <w:p w14:paraId="3475A36A" w14:textId="0E156156" w:rsidR="009D3C29" w:rsidRPr="00891FA0" w:rsidRDefault="00A71216" w:rsidP="009D3C29">
      <w:pPr>
        <w:rPr>
          <w:rFonts w:ascii="Calibri" w:hAnsi="Calibri" w:cs="Calibri"/>
          <w:sz w:val="22"/>
          <w:szCs w:val="22"/>
        </w:rPr>
      </w:pPr>
      <w:r w:rsidRPr="00891FA0">
        <w:rPr>
          <w:rFonts w:ascii="Calibri" w:hAnsi="Calibri" w:cs="Calibri"/>
          <w:sz w:val="22"/>
          <w:szCs w:val="22"/>
        </w:rPr>
        <w:t xml:space="preserve">Know When </w:t>
      </w:r>
      <w:proofErr w:type="gramStart"/>
      <w:r w:rsidRPr="00891FA0">
        <w:rPr>
          <w:rFonts w:ascii="Calibri" w:hAnsi="Calibri" w:cs="Calibri"/>
          <w:sz w:val="22"/>
          <w:szCs w:val="22"/>
        </w:rPr>
        <w:t>To</w:t>
      </w:r>
      <w:proofErr w:type="gramEnd"/>
      <w:r w:rsidRPr="00891FA0">
        <w:rPr>
          <w:rFonts w:ascii="Calibri" w:hAnsi="Calibri" w:cs="Calibri"/>
          <w:sz w:val="22"/>
          <w:szCs w:val="22"/>
        </w:rPr>
        <w:t xml:space="preserve"> Stop Before You Start®. Gambling Problem? MI, NJ, WV, PA (Affiliated with Harrah's Philadelphia): If you or someone you know has a gambling problem, crisis counseling and referral services can be accessed by calling 1-800-GAMBLER (1-800-426-2537) or WV: Visit 1800gambler.net; ON: Visit connexontario.ca or call 1-866-531-2600 or text CONNEX to 247247. </w:t>
      </w:r>
      <w:proofErr w:type="gramStart"/>
      <w:r w:rsidRPr="00891FA0">
        <w:rPr>
          <w:rFonts w:ascii="Calibri" w:hAnsi="Calibri" w:cs="Calibri"/>
          <w:sz w:val="22"/>
          <w:szCs w:val="22"/>
        </w:rPr>
        <w:t>Accruing</w:t>
      </w:r>
      <w:proofErr w:type="gramEnd"/>
      <w:r w:rsidRPr="00891FA0">
        <w:rPr>
          <w:rFonts w:ascii="Calibri" w:hAnsi="Calibri" w:cs="Calibri"/>
          <w:sz w:val="22"/>
          <w:szCs w:val="22"/>
        </w:rPr>
        <w:t xml:space="preserve"> Caesars Rewards credits </w:t>
      </w:r>
      <w:proofErr w:type="gramStart"/>
      <w:r w:rsidRPr="00891FA0">
        <w:rPr>
          <w:rFonts w:ascii="Calibri" w:hAnsi="Calibri" w:cs="Calibri"/>
          <w:sz w:val="22"/>
          <w:szCs w:val="22"/>
        </w:rPr>
        <w:t>is</w:t>
      </w:r>
      <w:proofErr w:type="gramEnd"/>
      <w:r w:rsidRPr="00891FA0">
        <w:rPr>
          <w:rFonts w:ascii="Calibri" w:hAnsi="Calibri" w:cs="Calibri"/>
          <w:sz w:val="22"/>
          <w:szCs w:val="22"/>
        </w:rPr>
        <w:t xml:space="preserve"> currently not available in Ontario when using Caesars Sportsbook &amp; Casino, Caesars Palace Online Casino, and Horseshoe Online Casino. ©2026, Caesars Entertainment</w:t>
      </w:r>
    </w:p>
    <w:p w14:paraId="3198C786" w14:textId="77777777" w:rsidR="00A71216" w:rsidRPr="00891FA0" w:rsidRDefault="00A71216" w:rsidP="009D3C29">
      <w:pPr>
        <w:rPr>
          <w:rFonts w:ascii="Calibri" w:hAnsi="Calibri" w:cs="Calibri"/>
          <w:b/>
          <w:bCs/>
          <w:sz w:val="22"/>
          <w:szCs w:val="22"/>
        </w:rPr>
      </w:pPr>
    </w:p>
    <w:p w14:paraId="42D42A18" w14:textId="77777777" w:rsidR="00D738BF" w:rsidRPr="00891FA0" w:rsidRDefault="00D738BF" w:rsidP="00D738BF">
      <w:pPr>
        <w:rPr>
          <w:rFonts w:ascii="Calibri" w:hAnsi="Calibri" w:cs="Calibri"/>
          <w:sz w:val="22"/>
          <w:szCs w:val="22"/>
        </w:rPr>
      </w:pPr>
      <w:r w:rsidRPr="00891FA0">
        <w:rPr>
          <w:rFonts w:ascii="Calibri" w:hAnsi="Calibri" w:cs="Calibri"/>
          <w:b/>
          <w:bCs/>
          <w:sz w:val="22"/>
          <w:szCs w:val="22"/>
        </w:rPr>
        <w:t>Media Contacts:</w:t>
      </w:r>
    </w:p>
    <w:p w14:paraId="605FAFE9" w14:textId="77777777" w:rsidR="00D738BF" w:rsidRPr="00891FA0" w:rsidRDefault="00D738BF" w:rsidP="00D738BF">
      <w:pPr>
        <w:rPr>
          <w:rFonts w:ascii="Calibri" w:hAnsi="Calibri" w:cs="Calibri"/>
          <w:sz w:val="22"/>
          <w:szCs w:val="22"/>
        </w:rPr>
      </w:pPr>
      <w:r w:rsidRPr="00891FA0">
        <w:rPr>
          <w:rFonts w:ascii="Calibri" w:hAnsi="Calibri" w:cs="Calibri"/>
          <w:sz w:val="22"/>
          <w:szCs w:val="22"/>
        </w:rPr>
        <w:t xml:space="preserve">Brad Harwood, </w:t>
      </w:r>
      <w:hyperlink r:id="rId14" w:history="1">
        <w:r w:rsidRPr="00891FA0">
          <w:rPr>
            <w:rStyle w:val="Hyperlink"/>
            <w:rFonts w:ascii="Calibri" w:hAnsi="Calibri" w:cs="Calibri"/>
            <w:sz w:val="22"/>
            <w:szCs w:val="22"/>
          </w:rPr>
          <w:t>bharwood@caesars.com</w:t>
        </w:r>
      </w:hyperlink>
      <w:r w:rsidRPr="00891FA0">
        <w:rPr>
          <w:rFonts w:ascii="Calibri" w:hAnsi="Calibri" w:cs="Calibri"/>
          <w:sz w:val="22"/>
          <w:szCs w:val="22"/>
        </w:rPr>
        <w:t xml:space="preserve">  </w:t>
      </w:r>
    </w:p>
    <w:p w14:paraId="51EC6BA3" w14:textId="77777777" w:rsidR="00D738BF" w:rsidRPr="00891FA0" w:rsidRDefault="00D738BF" w:rsidP="00D738BF">
      <w:pPr>
        <w:rPr>
          <w:rFonts w:ascii="Calibri" w:hAnsi="Calibri" w:cs="Calibri"/>
          <w:sz w:val="22"/>
          <w:szCs w:val="22"/>
        </w:rPr>
      </w:pPr>
      <w:r w:rsidRPr="00891FA0">
        <w:rPr>
          <w:rFonts w:ascii="Calibri" w:hAnsi="Calibri" w:cs="Calibri"/>
          <w:sz w:val="22"/>
          <w:szCs w:val="22"/>
        </w:rPr>
        <w:t xml:space="preserve">Dominic Holden, </w:t>
      </w:r>
      <w:hyperlink r:id="rId15" w:history="1">
        <w:r w:rsidRPr="00891FA0">
          <w:rPr>
            <w:rStyle w:val="Hyperlink"/>
            <w:rFonts w:ascii="Calibri" w:hAnsi="Calibri" w:cs="Calibri"/>
            <w:sz w:val="22"/>
            <w:szCs w:val="22"/>
          </w:rPr>
          <w:t>dholden@caesars.com</w:t>
        </w:r>
      </w:hyperlink>
      <w:r w:rsidRPr="00891FA0">
        <w:rPr>
          <w:rFonts w:ascii="Calibri" w:hAnsi="Calibri" w:cs="Calibri"/>
          <w:sz w:val="22"/>
          <w:szCs w:val="22"/>
        </w:rPr>
        <w:t xml:space="preserve"> </w:t>
      </w:r>
    </w:p>
    <w:p w14:paraId="75EA3EED" w14:textId="77777777" w:rsidR="00D738BF" w:rsidRPr="00891FA0" w:rsidRDefault="00D738BF" w:rsidP="00D738BF">
      <w:pPr>
        <w:rPr>
          <w:rFonts w:ascii="Calibri" w:hAnsi="Calibri" w:cs="Calibri"/>
          <w:sz w:val="22"/>
          <w:szCs w:val="22"/>
        </w:rPr>
      </w:pPr>
    </w:p>
    <w:p w14:paraId="357A2CEF" w14:textId="1C3164C1" w:rsidR="007E0499" w:rsidRPr="00891FA0" w:rsidRDefault="00D738BF">
      <w:pPr>
        <w:rPr>
          <w:rFonts w:ascii="Calibri" w:hAnsi="Calibri" w:cs="Calibri"/>
          <w:sz w:val="22"/>
          <w:szCs w:val="22"/>
        </w:rPr>
      </w:pPr>
      <w:r w:rsidRPr="00891FA0">
        <w:rPr>
          <w:rFonts w:ascii="Calibri" w:hAnsi="Calibri" w:cs="Calibri"/>
          <w:sz w:val="22"/>
          <w:szCs w:val="22"/>
        </w:rPr>
        <w:t>Source: Caesars Entertainment Inc.; CZR</w:t>
      </w:r>
    </w:p>
    <w:sectPr w:rsidR="007E0499" w:rsidRPr="0089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823"/>
    <w:multiLevelType w:val="hybridMultilevel"/>
    <w:tmpl w:val="F81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57D43"/>
    <w:multiLevelType w:val="hybridMultilevel"/>
    <w:tmpl w:val="83C0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87201"/>
    <w:multiLevelType w:val="hybridMultilevel"/>
    <w:tmpl w:val="B88E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57D1E"/>
    <w:multiLevelType w:val="hybridMultilevel"/>
    <w:tmpl w:val="86CA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2586B"/>
    <w:multiLevelType w:val="hybridMultilevel"/>
    <w:tmpl w:val="AF9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A00E7"/>
    <w:multiLevelType w:val="hybridMultilevel"/>
    <w:tmpl w:val="94F8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2218C"/>
    <w:multiLevelType w:val="hybridMultilevel"/>
    <w:tmpl w:val="73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C0C75"/>
    <w:multiLevelType w:val="hybridMultilevel"/>
    <w:tmpl w:val="6FC6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B8354A"/>
    <w:multiLevelType w:val="multilevel"/>
    <w:tmpl w:val="10A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890911">
    <w:abstractNumId w:val="7"/>
  </w:num>
  <w:num w:numId="2" w16cid:durableId="1461000967">
    <w:abstractNumId w:val="0"/>
  </w:num>
  <w:num w:numId="3" w16cid:durableId="786855172">
    <w:abstractNumId w:val="8"/>
  </w:num>
  <w:num w:numId="4" w16cid:durableId="570238688">
    <w:abstractNumId w:val="1"/>
  </w:num>
  <w:num w:numId="5" w16cid:durableId="1496725176">
    <w:abstractNumId w:val="6"/>
  </w:num>
  <w:num w:numId="6" w16cid:durableId="141042805">
    <w:abstractNumId w:val="3"/>
  </w:num>
  <w:num w:numId="7" w16cid:durableId="1659000515">
    <w:abstractNumId w:val="4"/>
  </w:num>
  <w:num w:numId="8" w16cid:durableId="2086031466">
    <w:abstractNumId w:val="2"/>
  </w:num>
  <w:num w:numId="9" w16cid:durableId="163383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BF"/>
    <w:rsid w:val="0000193D"/>
    <w:rsid w:val="00022079"/>
    <w:rsid w:val="000368BC"/>
    <w:rsid w:val="00042B9D"/>
    <w:rsid w:val="00045F03"/>
    <w:rsid w:val="0004714C"/>
    <w:rsid w:val="00051A60"/>
    <w:rsid w:val="00054E93"/>
    <w:rsid w:val="00057E72"/>
    <w:rsid w:val="000725E7"/>
    <w:rsid w:val="000759C6"/>
    <w:rsid w:val="00084825"/>
    <w:rsid w:val="00086B37"/>
    <w:rsid w:val="000A0468"/>
    <w:rsid w:val="000B5DC5"/>
    <w:rsid w:val="000B64FB"/>
    <w:rsid w:val="000E4307"/>
    <w:rsid w:val="000E73C6"/>
    <w:rsid w:val="000F2300"/>
    <w:rsid w:val="00115F80"/>
    <w:rsid w:val="00122E5C"/>
    <w:rsid w:val="00132E8A"/>
    <w:rsid w:val="00135F1A"/>
    <w:rsid w:val="00147905"/>
    <w:rsid w:val="0016074A"/>
    <w:rsid w:val="00171678"/>
    <w:rsid w:val="001743B9"/>
    <w:rsid w:val="00192DD9"/>
    <w:rsid w:val="001A287A"/>
    <w:rsid w:val="001A512B"/>
    <w:rsid w:val="001A68F2"/>
    <w:rsid w:val="001C0FE1"/>
    <w:rsid w:val="001D4DF7"/>
    <w:rsid w:val="00201E98"/>
    <w:rsid w:val="00215842"/>
    <w:rsid w:val="00216543"/>
    <w:rsid w:val="00233220"/>
    <w:rsid w:val="00246802"/>
    <w:rsid w:val="002521D3"/>
    <w:rsid w:val="002543C0"/>
    <w:rsid w:val="002602F8"/>
    <w:rsid w:val="002629B5"/>
    <w:rsid w:val="00274595"/>
    <w:rsid w:val="00274E7E"/>
    <w:rsid w:val="00281FA2"/>
    <w:rsid w:val="002878B9"/>
    <w:rsid w:val="00296A67"/>
    <w:rsid w:val="002A23D2"/>
    <w:rsid w:val="002A5122"/>
    <w:rsid w:val="002A5D4C"/>
    <w:rsid w:val="002B16F9"/>
    <w:rsid w:val="002B5DF2"/>
    <w:rsid w:val="002C342B"/>
    <w:rsid w:val="002D1764"/>
    <w:rsid w:val="002E24ED"/>
    <w:rsid w:val="002F06F6"/>
    <w:rsid w:val="002F0F00"/>
    <w:rsid w:val="002F2206"/>
    <w:rsid w:val="002F3B79"/>
    <w:rsid w:val="002F3E93"/>
    <w:rsid w:val="002F5899"/>
    <w:rsid w:val="003079FB"/>
    <w:rsid w:val="00310C78"/>
    <w:rsid w:val="00314983"/>
    <w:rsid w:val="003273E2"/>
    <w:rsid w:val="00341DB0"/>
    <w:rsid w:val="003451A1"/>
    <w:rsid w:val="00346416"/>
    <w:rsid w:val="00346AA3"/>
    <w:rsid w:val="00352FCA"/>
    <w:rsid w:val="00356F37"/>
    <w:rsid w:val="003626FC"/>
    <w:rsid w:val="00364F1E"/>
    <w:rsid w:val="00366308"/>
    <w:rsid w:val="00371E7A"/>
    <w:rsid w:val="00392EC5"/>
    <w:rsid w:val="003B34BC"/>
    <w:rsid w:val="003B72C0"/>
    <w:rsid w:val="003C49E4"/>
    <w:rsid w:val="003C5E2A"/>
    <w:rsid w:val="003C6915"/>
    <w:rsid w:val="003D4C0B"/>
    <w:rsid w:val="003D52A4"/>
    <w:rsid w:val="003D777D"/>
    <w:rsid w:val="003E5CC7"/>
    <w:rsid w:val="00421400"/>
    <w:rsid w:val="00443957"/>
    <w:rsid w:val="00445994"/>
    <w:rsid w:val="00446557"/>
    <w:rsid w:val="00453626"/>
    <w:rsid w:val="004605DE"/>
    <w:rsid w:val="00462EA1"/>
    <w:rsid w:val="0046509E"/>
    <w:rsid w:val="0047792D"/>
    <w:rsid w:val="00484C4E"/>
    <w:rsid w:val="00485DF0"/>
    <w:rsid w:val="004905A1"/>
    <w:rsid w:val="00491B2A"/>
    <w:rsid w:val="00493B9B"/>
    <w:rsid w:val="00496606"/>
    <w:rsid w:val="004A0B5F"/>
    <w:rsid w:val="004A3580"/>
    <w:rsid w:val="004B1B59"/>
    <w:rsid w:val="004B26BE"/>
    <w:rsid w:val="004B58A8"/>
    <w:rsid w:val="004D330C"/>
    <w:rsid w:val="004E61E4"/>
    <w:rsid w:val="004F1307"/>
    <w:rsid w:val="004F206A"/>
    <w:rsid w:val="005009D8"/>
    <w:rsid w:val="005032CD"/>
    <w:rsid w:val="005074E5"/>
    <w:rsid w:val="00510373"/>
    <w:rsid w:val="005136E8"/>
    <w:rsid w:val="0051433A"/>
    <w:rsid w:val="005170C3"/>
    <w:rsid w:val="00555B65"/>
    <w:rsid w:val="00557CBF"/>
    <w:rsid w:val="005600B0"/>
    <w:rsid w:val="005658AA"/>
    <w:rsid w:val="00565EA0"/>
    <w:rsid w:val="005739A6"/>
    <w:rsid w:val="00585942"/>
    <w:rsid w:val="005A3614"/>
    <w:rsid w:val="005A6CAA"/>
    <w:rsid w:val="005B46F4"/>
    <w:rsid w:val="005B53D7"/>
    <w:rsid w:val="005C0ECA"/>
    <w:rsid w:val="005F4618"/>
    <w:rsid w:val="00610288"/>
    <w:rsid w:val="00612608"/>
    <w:rsid w:val="00625760"/>
    <w:rsid w:val="006278C2"/>
    <w:rsid w:val="00627E6F"/>
    <w:rsid w:val="00631214"/>
    <w:rsid w:val="00631704"/>
    <w:rsid w:val="00633BE8"/>
    <w:rsid w:val="00642BDC"/>
    <w:rsid w:val="00650FD8"/>
    <w:rsid w:val="00651426"/>
    <w:rsid w:val="00652794"/>
    <w:rsid w:val="00670B94"/>
    <w:rsid w:val="00683AD1"/>
    <w:rsid w:val="006C28C3"/>
    <w:rsid w:val="006C54C7"/>
    <w:rsid w:val="006D5836"/>
    <w:rsid w:val="007038B3"/>
    <w:rsid w:val="00710FB6"/>
    <w:rsid w:val="007259B6"/>
    <w:rsid w:val="00744F83"/>
    <w:rsid w:val="00760C64"/>
    <w:rsid w:val="00765480"/>
    <w:rsid w:val="00775B37"/>
    <w:rsid w:val="00777672"/>
    <w:rsid w:val="0079422B"/>
    <w:rsid w:val="0079624C"/>
    <w:rsid w:val="007A0FF6"/>
    <w:rsid w:val="007A2F5E"/>
    <w:rsid w:val="007A3414"/>
    <w:rsid w:val="007A6690"/>
    <w:rsid w:val="007B17E3"/>
    <w:rsid w:val="007B63A8"/>
    <w:rsid w:val="007E0499"/>
    <w:rsid w:val="007E1233"/>
    <w:rsid w:val="007E1B08"/>
    <w:rsid w:val="007E2C06"/>
    <w:rsid w:val="007E339A"/>
    <w:rsid w:val="007E3FD5"/>
    <w:rsid w:val="007E55B8"/>
    <w:rsid w:val="007F15C1"/>
    <w:rsid w:val="007F5494"/>
    <w:rsid w:val="00814ACE"/>
    <w:rsid w:val="0081623E"/>
    <w:rsid w:val="00817A17"/>
    <w:rsid w:val="00824333"/>
    <w:rsid w:val="0082669D"/>
    <w:rsid w:val="00827E8F"/>
    <w:rsid w:val="00827FC2"/>
    <w:rsid w:val="0083159E"/>
    <w:rsid w:val="008321EA"/>
    <w:rsid w:val="00834AD2"/>
    <w:rsid w:val="0084112C"/>
    <w:rsid w:val="00860277"/>
    <w:rsid w:val="00864108"/>
    <w:rsid w:val="0087636A"/>
    <w:rsid w:val="00891FA0"/>
    <w:rsid w:val="00895B1B"/>
    <w:rsid w:val="008A6776"/>
    <w:rsid w:val="008C03B2"/>
    <w:rsid w:val="008F7035"/>
    <w:rsid w:val="009009BC"/>
    <w:rsid w:val="009076FB"/>
    <w:rsid w:val="00907C12"/>
    <w:rsid w:val="009115E9"/>
    <w:rsid w:val="00935318"/>
    <w:rsid w:val="009367C2"/>
    <w:rsid w:val="00941AF0"/>
    <w:rsid w:val="00954138"/>
    <w:rsid w:val="009619F6"/>
    <w:rsid w:val="009629BB"/>
    <w:rsid w:val="0097338B"/>
    <w:rsid w:val="00991A46"/>
    <w:rsid w:val="009944DF"/>
    <w:rsid w:val="009A2064"/>
    <w:rsid w:val="009A20F8"/>
    <w:rsid w:val="009B264D"/>
    <w:rsid w:val="009B79C4"/>
    <w:rsid w:val="009C02B0"/>
    <w:rsid w:val="009C0B82"/>
    <w:rsid w:val="009C4878"/>
    <w:rsid w:val="009C63B0"/>
    <w:rsid w:val="009C7208"/>
    <w:rsid w:val="009D19A8"/>
    <w:rsid w:val="009D3C29"/>
    <w:rsid w:val="009D54B7"/>
    <w:rsid w:val="009E10B8"/>
    <w:rsid w:val="009E2E8F"/>
    <w:rsid w:val="009E3FD2"/>
    <w:rsid w:val="00A108AA"/>
    <w:rsid w:val="00A112F0"/>
    <w:rsid w:val="00A20F3F"/>
    <w:rsid w:val="00A27C50"/>
    <w:rsid w:val="00A3250A"/>
    <w:rsid w:val="00A409C5"/>
    <w:rsid w:val="00A4535E"/>
    <w:rsid w:val="00A55743"/>
    <w:rsid w:val="00A60BBB"/>
    <w:rsid w:val="00A6409E"/>
    <w:rsid w:val="00A641AA"/>
    <w:rsid w:val="00A64C43"/>
    <w:rsid w:val="00A6550B"/>
    <w:rsid w:val="00A71216"/>
    <w:rsid w:val="00AC2F48"/>
    <w:rsid w:val="00AC4374"/>
    <w:rsid w:val="00AE73D5"/>
    <w:rsid w:val="00AE7B1A"/>
    <w:rsid w:val="00AF1847"/>
    <w:rsid w:val="00AF3A20"/>
    <w:rsid w:val="00AF4A11"/>
    <w:rsid w:val="00AF59FB"/>
    <w:rsid w:val="00B0278A"/>
    <w:rsid w:val="00B11A8E"/>
    <w:rsid w:val="00B17E19"/>
    <w:rsid w:val="00B336CE"/>
    <w:rsid w:val="00B4198C"/>
    <w:rsid w:val="00B450D9"/>
    <w:rsid w:val="00B55280"/>
    <w:rsid w:val="00B63408"/>
    <w:rsid w:val="00B67073"/>
    <w:rsid w:val="00B80EB1"/>
    <w:rsid w:val="00BB45C6"/>
    <w:rsid w:val="00BC1A04"/>
    <w:rsid w:val="00BE1CA0"/>
    <w:rsid w:val="00BE44B1"/>
    <w:rsid w:val="00BE640E"/>
    <w:rsid w:val="00BE69B3"/>
    <w:rsid w:val="00C03830"/>
    <w:rsid w:val="00C15B16"/>
    <w:rsid w:val="00C16BBF"/>
    <w:rsid w:val="00C21837"/>
    <w:rsid w:val="00C24D87"/>
    <w:rsid w:val="00C24F26"/>
    <w:rsid w:val="00C32C7D"/>
    <w:rsid w:val="00C540B6"/>
    <w:rsid w:val="00C56666"/>
    <w:rsid w:val="00C6437C"/>
    <w:rsid w:val="00C71CB0"/>
    <w:rsid w:val="00C72C4A"/>
    <w:rsid w:val="00C8385B"/>
    <w:rsid w:val="00C851C0"/>
    <w:rsid w:val="00C95E5A"/>
    <w:rsid w:val="00C97A9D"/>
    <w:rsid w:val="00CA21B4"/>
    <w:rsid w:val="00CA3278"/>
    <w:rsid w:val="00CB60A5"/>
    <w:rsid w:val="00CC2CD9"/>
    <w:rsid w:val="00CC5865"/>
    <w:rsid w:val="00CD0976"/>
    <w:rsid w:val="00CD22E8"/>
    <w:rsid w:val="00CD2FB3"/>
    <w:rsid w:val="00CD5160"/>
    <w:rsid w:val="00D01223"/>
    <w:rsid w:val="00D013C7"/>
    <w:rsid w:val="00D30658"/>
    <w:rsid w:val="00D56984"/>
    <w:rsid w:val="00D65EE1"/>
    <w:rsid w:val="00D738BF"/>
    <w:rsid w:val="00D94BCA"/>
    <w:rsid w:val="00DA6F65"/>
    <w:rsid w:val="00DB01D8"/>
    <w:rsid w:val="00DB2B5D"/>
    <w:rsid w:val="00DB4450"/>
    <w:rsid w:val="00DC120A"/>
    <w:rsid w:val="00DC2D25"/>
    <w:rsid w:val="00DC591A"/>
    <w:rsid w:val="00DD1CEF"/>
    <w:rsid w:val="00DF2EEE"/>
    <w:rsid w:val="00DF4685"/>
    <w:rsid w:val="00DF6646"/>
    <w:rsid w:val="00DF7EC2"/>
    <w:rsid w:val="00E060C5"/>
    <w:rsid w:val="00E2525E"/>
    <w:rsid w:val="00E2680C"/>
    <w:rsid w:val="00E27A84"/>
    <w:rsid w:val="00E309BC"/>
    <w:rsid w:val="00E437CD"/>
    <w:rsid w:val="00E464FD"/>
    <w:rsid w:val="00E46B13"/>
    <w:rsid w:val="00E46C3E"/>
    <w:rsid w:val="00E52FA7"/>
    <w:rsid w:val="00E83CDF"/>
    <w:rsid w:val="00E90E6A"/>
    <w:rsid w:val="00E92AEA"/>
    <w:rsid w:val="00E93290"/>
    <w:rsid w:val="00EB2880"/>
    <w:rsid w:val="00EC0316"/>
    <w:rsid w:val="00EC19A4"/>
    <w:rsid w:val="00ED3E5A"/>
    <w:rsid w:val="00EE0278"/>
    <w:rsid w:val="00EE33B3"/>
    <w:rsid w:val="00EE55E5"/>
    <w:rsid w:val="00F003AE"/>
    <w:rsid w:val="00F00654"/>
    <w:rsid w:val="00F144A9"/>
    <w:rsid w:val="00F2631B"/>
    <w:rsid w:val="00F27E3D"/>
    <w:rsid w:val="00F30693"/>
    <w:rsid w:val="00F521A0"/>
    <w:rsid w:val="00F558F1"/>
    <w:rsid w:val="00F571AF"/>
    <w:rsid w:val="00F62C00"/>
    <w:rsid w:val="00F66957"/>
    <w:rsid w:val="00F70FEA"/>
    <w:rsid w:val="00F720CF"/>
    <w:rsid w:val="00F90F05"/>
    <w:rsid w:val="00F92061"/>
    <w:rsid w:val="00FA27B9"/>
    <w:rsid w:val="00FA5A7D"/>
    <w:rsid w:val="00FC26EF"/>
    <w:rsid w:val="00FD1831"/>
    <w:rsid w:val="00FF0B8F"/>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BF5C"/>
  <w15:chartTrackingRefBased/>
  <w15:docId w15:val="{AFF0FF55-E84E-4BC5-8D7B-26AEBDC9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B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738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738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738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738B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738B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738B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738B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738B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738B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BF"/>
    <w:rPr>
      <w:rFonts w:eastAsiaTheme="majorEastAsia" w:cstheme="majorBidi"/>
      <w:color w:val="272727" w:themeColor="text1" w:themeTint="D8"/>
    </w:rPr>
  </w:style>
  <w:style w:type="paragraph" w:styleId="Title">
    <w:name w:val="Title"/>
    <w:basedOn w:val="Normal"/>
    <w:next w:val="Normal"/>
    <w:link w:val="TitleChar"/>
    <w:uiPriority w:val="10"/>
    <w:qFormat/>
    <w:rsid w:val="00D73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7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B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D738BF"/>
    <w:rPr>
      <w:i/>
      <w:iCs/>
      <w:color w:val="404040" w:themeColor="text1" w:themeTint="BF"/>
    </w:rPr>
  </w:style>
  <w:style w:type="paragraph" w:styleId="ListParagraph">
    <w:name w:val="List Paragraph"/>
    <w:basedOn w:val="Normal"/>
    <w:uiPriority w:val="34"/>
    <w:qFormat/>
    <w:rsid w:val="00D738B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D738BF"/>
    <w:rPr>
      <w:i/>
      <w:iCs/>
      <w:color w:val="0F4761" w:themeColor="accent1" w:themeShade="BF"/>
    </w:rPr>
  </w:style>
  <w:style w:type="paragraph" w:styleId="IntenseQuote">
    <w:name w:val="Intense Quote"/>
    <w:basedOn w:val="Normal"/>
    <w:next w:val="Normal"/>
    <w:link w:val="IntenseQuoteChar"/>
    <w:uiPriority w:val="30"/>
    <w:qFormat/>
    <w:rsid w:val="00D738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738BF"/>
    <w:rPr>
      <w:i/>
      <w:iCs/>
      <w:color w:val="0F4761" w:themeColor="accent1" w:themeShade="BF"/>
    </w:rPr>
  </w:style>
  <w:style w:type="character" w:styleId="IntenseReference">
    <w:name w:val="Intense Reference"/>
    <w:basedOn w:val="DefaultParagraphFont"/>
    <w:uiPriority w:val="32"/>
    <w:qFormat/>
    <w:rsid w:val="00D738BF"/>
    <w:rPr>
      <w:b/>
      <w:bCs/>
      <w:smallCaps/>
      <w:color w:val="0F4761" w:themeColor="accent1" w:themeShade="BF"/>
      <w:spacing w:val="5"/>
    </w:rPr>
  </w:style>
  <w:style w:type="character" w:styleId="Hyperlink">
    <w:name w:val="Hyperlink"/>
    <w:basedOn w:val="DefaultParagraphFont"/>
    <w:uiPriority w:val="99"/>
    <w:unhideWhenUsed/>
    <w:rsid w:val="00D738BF"/>
    <w:rPr>
      <w:color w:val="467886" w:themeColor="hyperlink"/>
      <w:u w:val="single"/>
    </w:rPr>
  </w:style>
  <w:style w:type="character" w:styleId="UnresolvedMention">
    <w:name w:val="Unresolved Mention"/>
    <w:basedOn w:val="DefaultParagraphFont"/>
    <w:uiPriority w:val="99"/>
    <w:semiHidden/>
    <w:unhideWhenUsed/>
    <w:rsid w:val="00D738BF"/>
    <w:rPr>
      <w:color w:val="605E5C"/>
      <w:shd w:val="clear" w:color="auto" w:fill="E1DFDD"/>
    </w:rPr>
  </w:style>
  <w:style w:type="paragraph" w:styleId="Revision">
    <w:name w:val="Revision"/>
    <w:hidden/>
    <w:uiPriority w:val="99"/>
    <w:semiHidden/>
    <w:rsid w:val="009944DF"/>
    <w:pPr>
      <w:spacing w:after="0" w:line="240" w:lineRule="auto"/>
    </w:pPr>
    <w:rPr>
      <w:rFonts w:ascii="Aptos" w:hAnsi="Aptos" w:cs="Aptos"/>
      <w:kern w:val="0"/>
    </w:rPr>
  </w:style>
  <w:style w:type="character" w:styleId="CommentReference">
    <w:name w:val="annotation reference"/>
    <w:basedOn w:val="DefaultParagraphFont"/>
    <w:uiPriority w:val="99"/>
    <w:semiHidden/>
    <w:unhideWhenUsed/>
    <w:rsid w:val="009D19A8"/>
    <w:rPr>
      <w:sz w:val="16"/>
      <w:szCs w:val="16"/>
    </w:rPr>
  </w:style>
  <w:style w:type="paragraph" w:styleId="CommentText">
    <w:name w:val="annotation text"/>
    <w:basedOn w:val="Normal"/>
    <w:link w:val="CommentTextChar"/>
    <w:uiPriority w:val="99"/>
    <w:unhideWhenUsed/>
    <w:rsid w:val="009D19A8"/>
    <w:rPr>
      <w:sz w:val="20"/>
      <w:szCs w:val="20"/>
    </w:rPr>
  </w:style>
  <w:style w:type="character" w:customStyle="1" w:styleId="CommentTextChar">
    <w:name w:val="Comment Text Char"/>
    <w:basedOn w:val="DefaultParagraphFont"/>
    <w:link w:val="CommentText"/>
    <w:uiPriority w:val="99"/>
    <w:rsid w:val="009D19A8"/>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D19A8"/>
    <w:rPr>
      <w:b/>
      <w:bCs/>
    </w:rPr>
  </w:style>
  <w:style w:type="character" w:customStyle="1" w:styleId="CommentSubjectChar">
    <w:name w:val="Comment Subject Char"/>
    <w:basedOn w:val="CommentTextChar"/>
    <w:link w:val="CommentSubject"/>
    <w:uiPriority w:val="99"/>
    <w:semiHidden/>
    <w:rsid w:val="009D19A8"/>
    <w:rPr>
      <w:rFonts w:ascii="Aptos" w:hAnsi="Aptos" w:cs="Aptos"/>
      <w:b/>
      <w:bCs/>
      <w:kern w:val="0"/>
      <w:sz w:val="20"/>
      <w:szCs w:val="20"/>
    </w:rPr>
  </w:style>
  <w:style w:type="character" w:customStyle="1" w:styleId="ui-provider">
    <w:name w:val="ui-provider"/>
    <w:basedOn w:val="DefaultParagraphFont"/>
    <w:rsid w:val="002F2206"/>
  </w:style>
  <w:style w:type="paragraph" w:styleId="NormalWeb">
    <w:name w:val="Normal (Web)"/>
    <w:basedOn w:val="Normal"/>
    <w:uiPriority w:val="99"/>
    <w:unhideWhenUsed/>
    <w:rsid w:val="00AF3A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243">
      <w:bodyDiv w:val="1"/>
      <w:marLeft w:val="0"/>
      <w:marRight w:val="0"/>
      <w:marTop w:val="0"/>
      <w:marBottom w:val="0"/>
      <w:divBdr>
        <w:top w:val="none" w:sz="0" w:space="0" w:color="auto"/>
        <w:left w:val="none" w:sz="0" w:space="0" w:color="auto"/>
        <w:bottom w:val="none" w:sz="0" w:space="0" w:color="auto"/>
        <w:right w:val="none" w:sz="0" w:space="0" w:color="auto"/>
      </w:divBdr>
      <w:divsChild>
        <w:div w:id="1282687407">
          <w:marLeft w:val="0"/>
          <w:marRight w:val="0"/>
          <w:marTop w:val="0"/>
          <w:marBottom w:val="0"/>
          <w:divBdr>
            <w:top w:val="none" w:sz="0" w:space="0" w:color="auto"/>
            <w:left w:val="none" w:sz="0" w:space="0" w:color="auto"/>
            <w:bottom w:val="none" w:sz="0" w:space="0" w:color="auto"/>
            <w:right w:val="none" w:sz="0" w:space="0" w:color="auto"/>
          </w:divBdr>
        </w:div>
      </w:divsChild>
    </w:div>
    <w:div w:id="102846805">
      <w:bodyDiv w:val="1"/>
      <w:marLeft w:val="0"/>
      <w:marRight w:val="0"/>
      <w:marTop w:val="0"/>
      <w:marBottom w:val="0"/>
      <w:divBdr>
        <w:top w:val="none" w:sz="0" w:space="0" w:color="auto"/>
        <w:left w:val="none" w:sz="0" w:space="0" w:color="auto"/>
        <w:bottom w:val="none" w:sz="0" w:space="0" w:color="auto"/>
        <w:right w:val="none" w:sz="0" w:space="0" w:color="auto"/>
      </w:divBdr>
      <w:divsChild>
        <w:div w:id="408961546">
          <w:marLeft w:val="0"/>
          <w:marRight w:val="0"/>
          <w:marTop w:val="0"/>
          <w:marBottom w:val="0"/>
          <w:divBdr>
            <w:top w:val="none" w:sz="0" w:space="0" w:color="auto"/>
            <w:left w:val="none" w:sz="0" w:space="0" w:color="auto"/>
            <w:bottom w:val="none" w:sz="0" w:space="0" w:color="auto"/>
            <w:right w:val="none" w:sz="0" w:space="0" w:color="auto"/>
          </w:divBdr>
        </w:div>
      </w:divsChild>
    </w:div>
    <w:div w:id="294456129">
      <w:bodyDiv w:val="1"/>
      <w:marLeft w:val="0"/>
      <w:marRight w:val="0"/>
      <w:marTop w:val="0"/>
      <w:marBottom w:val="0"/>
      <w:divBdr>
        <w:top w:val="none" w:sz="0" w:space="0" w:color="auto"/>
        <w:left w:val="none" w:sz="0" w:space="0" w:color="auto"/>
        <w:bottom w:val="none" w:sz="0" w:space="0" w:color="auto"/>
        <w:right w:val="none" w:sz="0" w:space="0" w:color="auto"/>
      </w:divBdr>
    </w:div>
    <w:div w:id="546650503">
      <w:bodyDiv w:val="1"/>
      <w:marLeft w:val="0"/>
      <w:marRight w:val="0"/>
      <w:marTop w:val="0"/>
      <w:marBottom w:val="0"/>
      <w:divBdr>
        <w:top w:val="none" w:sz="0" w:space="0" w:color="auto"/>
        <w:left w:val="none" w:sz="0" w:space="0" w:color="auto"/>
        <w:bottom w:val="none" w:sz="0" w:space="0" w:color="auto"/>
        <w:right w:val="none" w:sz="0" w:space="0" w:color="auto"/>
      </w:divBdr>
      <w:divsChild>
        <w:div w:id="635372819">
          <w:marLeft w:val="0"/>
          <w:marRight w:val="0"/>
          <w:marTop w:val="0"/>
          <w:marBottom w:val="0"/>
          <w:divBdr>
            <w:top w:val="none" w:sz="0" w:space="0" w:color="auto"/>
            <w:left w:val="none" w:sz="0" w:space="0" w:color="auto"/>
            <w:bottom w:val="none" w:sz="0" w:space="0" w:color="auto"/>
            <w:right w:val="none" w:sz="0" w:space="0" w:color="auto"/>
          </w:divBdr>
        </w:div>
      </w:divsChild>
    </w:div>
    <w:div w:id="552160835">
      <w:bodyDiv w:val="1"/>
      <w:marLeft w:val="0"/>
      <w:marRight w:val="0"/>
      <w:marTop w:val="0"/>
      <w:marBottom w:val="0"/>
      <w:divBdr>
        <w:top w:val="none" w:sz="0" w:space="0" w:color="auto"/>
        <w:left w:val="none" w:sz="0" w:space="0" w:color="auto"/>
        <w:bottom w:val="none" w:sz="0" w:space="0" w:color="auto"/>
        <w:right w:val="none" w:sz="0" w:space="0" w:color="auto"/>
      </w:divBdr>
      <w:divsChild>
        <w:div w:id="927036508">
          <w:marLeft w:val="0"/>
          <w:marRight w:val="0"/>
          <w:marTop w:val="0"/>
          <w:marBottom w:val="0"/>
          <w:divBdr>
            <w:top w:val="none" w:sz="0" w:space="0" w:color="auto"/>
            <w:left w:val="none" w:sz="0" w:space="0" w:color="auto"/>
            <w:bottom w:val="none" w:sz="0" w:space="0" w:color="auto"/>
            <w:right w:val="none" w:sz="0" w:space="0" w:color="auto"/>
          </w:divBdr>
        </w:div>
      </w:divsChild>
    </w:div>
    <w:div w:id="696393006">
      <w:bodyDiv w:val="1"/>
      <w:marLeft w:val="0"/>
      <w:marRight w:val="0"/>
      <w:marTop w:val="0"/>
      <w:marBottom w:val="0"/>
      <w:divBdr>
        <w:top w:val="none" w:sz="0" w:space="0" w:color="auto"/>
        <w:left w:val="none" w:sz="0" w:space="0" w:color="auto"/>
        <w:bottom w:val="none" w:sz="0" w:space="0" w:color="auto"/>
        <w:right w:val="none" w:sz="0" w:space="0" w:color="auto"/>
      </w:divBdr>
      <w:divsChild>
        <w:div w:id="480123093">
          <w:marLeft w:val="0"/>
          <w:marRight w:val="0"/>
          <w:marTop w:val="0"/>
          <w:marBottom w:val="0"/>
          <w:divBdr>
            <w:top w:val="none" w:sz="0" w:space="0" w:color="auto"/>
            <w:left w:val="none" w:sz="0" w:space="0" w:color="auto"/>
            <w:bottom w:val="none" w:sz="0" w:space="0" w:color="auto"/>
            <w:right w:val="none" w:sz="0" w:space="0" w:color="auto"/>
          </w:divBdr>
        </w:div>
      </w:divsChild>
    </w:div>
    <w:div w:id="786391403">
      <w:bodyDiv w:val="1"/>
      <w:marLeft w:val="0"/>
      <w:marRight w:val="0"/>
      <w:marTop w:val="0"/>
      <w:marBottom w:val="0"/>
      <w:divBdr>
        <w:top w:val="none" w:sz="0" w:space="0" w:color="auto"/>
        <w:left w:val="none" w:sz="0" w:space="0" w:color="auto"/>
        <w:bottom w:val="none" w:sz="0" w:space="0" w:color="auto"/>
        <w:right w:val="none" w:sz="0" w:space="0" w:color="auto"/>
      </w:divBdr>
    </w:div>
    <w:div w:id="930550076">
      <w:bodyDiv w:val="1"/>
      <w:marLeft w:val="0"/>
      <w:marRight w:val="0"/>
      <w:marTop w:val="0"/>
      <w:marBottom w:val="0"/>
      <w:divBdr>
        <w:top w:val="none" w:sz="0" w:space="0" w:color="auto"/>
        <w:left w:val="none" w:sz="0" w:space="0" w:color="auto"/>
        <w:bottom w:val="none" w:sz="0" w:space="0" w:color="auto"/>
        <w:right w:val="none" w:sz="0" w:space="0" w:color="auto"/>
      </w:divBdr>
    </w:div>
    <w:div w:id="110094972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05">
          <w:marLeft w:val="0"/>
          <w:marRight w:val="0"/>
          <w:marTop w:val="0"/>
          <w:marBottom w:val="0"/>
          <w:divBdr>
            <w:top w:val="none" w:sz="0" w:space="0" w:color="auto"/>
            <w:left w:val="none" w:sz="0" w:space="0" w:color="auto"/>
            <w:bottom w:val="none" w:sz="0" w:space="0" w:color="auto"/>
            <w:right w:val="none" w:sz="0" w:space="0" w:color="auto"/>
          </w:divBdr>
        </w:div>
      </w:divsChild>
    </w:div>
    <w:div w:id="1252395063">
      <w:bodyDiv w:val="1"/>
      <w:marLeft w:val="0"/>
      <w:marRight w:val="0"/>
      <w:marTop w:val="0"/>
      <w:marBottom w:val="0"/>
      <w:divBdr>
        <w:top w:val="none" w:sz="0" w:space="0" w:color="auto"/>
        <w:left w:val="none" w:sz="0" w:space="0" w:color="auto"/>
        <w:bottom w:val="none" w:sz="0" w:space="0" w:color="auto"/>
        <w:right w:val="none" w:sz="0" w:space="0" w:color="auto"/>
      </w:divBdr>
      <w:divsChild>
        <w:div w:id="1658486591">
          <w:marLeft w:val="0"/>
          <w:marRight w:val="0"/>
          <w:marTop w:val="0"/>
          <w:marBottom w:val="0"/>
          <w:divBdr>
            <w:top w:val="none" w:sz="0" w:space="0" w:color="auto"/>
            <w:left w:val="none" w:sz="0" w:space="0" w:color="auto"/>
            <w:bottom w:val="none" w:sz="0" w:space="0" w:color="auto"/>
            <w:right w:val="none" w:sz="0" w:space="0" w:color="auto"/>
          </w:divBdr>
        </w:div>
      </w:divsChild>
    </w:div>
    <w:div w:id="1903057986">
      <w:bodyDiv w:val="1"/>
      <w:marLeft w:val="0"/>
      <w:marRight w:val="0"/>
      <w:marTop w:val="0"/>
      <w:marBottom w:val="0"/>
      <w:divBdr>
        <w:top w:val="none" w:sz="0" w:space="0" w:color="auto"/>
        <w:left w:val="none" w:sz="0" w:space="0" w:color="auto"/>
        <w:bottom w:val="none" w:sz="0" w:space="0" w:color="auto"/>
        <w:right w:val="none" w:sz="0" w:space="0" w:color="auto"/>
      </w:divBdr>
      <w:divsChild>
        <w:div w:id="1132669774">
          <w:marLeft w:val="0"/>
          <w:marRight w:val="0"/>
          <w:marTop w:val="0"/>
          <w:marBottom w:val="0"/>
          <w:divBdr>
            <w:top w:val="none" w:sz="0" w:space="0" w:color="auto"/>
            <w:left w:val="none" w:sz="0" w:space="0" w:color="auto"/>
            <w:bottom w:val="none" w:sz="0" w:space="0" w:color="auto"/>
            <w:right w:val="none" w:sz="0" w:space="0" w:color="auto"/>
          </w:divBdr>
        </w:div>
      </w:divsChild>
    </w:div>
    <w:div w:id="1903980750">
      <w:bodyDiv w:val="1"/>
      <w:marLeft w:val="0"/>
      <w:marRight w:val="0"/>
      <w:marTop w:val="0"/>
      <w:marBottom w:val="0"/>
      <w:divBdr>
        <w:top w:val="none" w:sz="0" w:space="0" w:color="auto"/>
        <w:left w:val="none" w:sz="0" w:space="0" w:color="auto"/>
        <w:bottom w:val="none" w:sz="0" w:space="0" w:color="auto"/>
        <w:right w:val="none" w:sz="0" w:space="0" w:color="auto"/>
      </w:divBdr>
      <w:divsChild>
        <w:div w:id="78644447">
          <w:marLeft w:val="0"/>
          <w:marRight w:val="0"/>
          <w:marTop w:val="0"/>
          <w:marBottom w:val="0"/>
          <w:divBdr>
            <w:top w:val="none" w:sz="0" w:space="0" w:color="auto"/>
            <w:left w:val="none" w:sz="0" w:space="0" w:color="auto"/>
            <w:bottom w:val="none" w:sz="0" w:space="0" w:color="auto"/>
            <w:right w:val="none" w:sz="0" w:space="0" w:color="auto"/>
          </w:divBdr>
        </w:div>
      </w:divsChild>
    </w:div>
    <w:div w:id="2013868346">
      <w:bodyDiv w:val="1"/>
      <w:marLeft w:val="0"/>
      <w:marRight w:val="0"/>
      <w:marTop w:val="0"/>
      <w:marBottom w:val="0"/>
      <w:divBdr>
        <w:top w:val="none" w:sz="0" w:space="0" w:color="auto"/>
        <w:left w:val="none" w:sz="0" w:space="0" w:color="auto"/>
        <w:bottom w:val="none" w:sz="0" w:space="0" w:color="auto"/>
        <w:right w:val="none" w:sz="0" w:space="0" w:color="auto"/>
      </w:divBdr>
    </w:div>
    <w:div w:id="21170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sarspalaceonline.com/get-the-app" TargetMode="External"/><Relationship Id="rId13" Type="http://schemas.openxmlformats.org/officeDocument/2006/relationships/hyperlink" Target="http://www.caesars.com/corporate" TargetMode="External"/><Relationship Id="rId3" Type="http://schemas.openxmlformats.org/officeDocument/2006/relationships/styles" Target="styles.xml"/><Relationship Id="rId7" Type="http://schemas.openxmlformats.org/officeDocument/2006/relationships/image" Target="cid:image001.png@01DBE99A.B9FD9240" TargetMode="External"/><Relationship Id="rId12" Type="http://schemas.openxmlformats.org/officeDocument/2006/relationships/hyperlink" Target="https://drive.google.com/drive/folders/13n3EHMQ337dpYx9jnmgLGJbHXdVzGRuo?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aesars.com/corporate" TargetMode="External"/><Relationship Id="rId5" Type="http://schemas.openxmlformats.org/officeDocument/2006/relationships/webSettings" Target="webSettings.xml"/><Relationship Id="rId15" Type="http://schemas.openxmlformats.org/officeDocument/2006/relationships/hyperlink" Target="mailto:dholden@caesars.com" TargetMode="External"/><Relationship Id="rId10"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4" Type="http://schemas.openxmlformats.org/officeDocument/2006/relationships/settings" Target="settings.xml"/><Relationship Id="rId9" Type="http://schemas.openxmlformats.org/officeDocument/2006/relationships/hyperlink" Target="https://www.caesars.com/myrewards" TargetMode="External"/><Relationship Id="rId14" Type="http://schemas.openxmlformats.org/officeDocument/2006/relationships/hyperlink" Target="mailto:bharwood@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67DB-A3B1-4D4D-943A-503DA4E844CC}">
  <ds:schemaRefs>
    <ds:schemaRef ds:uri="http://schemas.openxmlformats.org/officeDocument/2006/bibliography"/>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Links>
    <vt:vector size="42" baseType="variant">
      <vt:variant>
        <vt:i4>7929930</vt:i4>
      </vt:variant>
      <vt:variant>
        <vt:i4>18</vt:i4>
      </vt:variant>
      <vt:variant>
        <vt:i4>0</vt:i4>
      </vt:variant>
      <vt:variant>
        <vt:i4>5</vt:i4>
      </vt:variant>
      <vt:variant>
        <vt:lpwstr>mailto:dholden@caesars.com</vt:lpwstr>
      </vt:variant>
      <vt:variant>
        <vt:lpwstr/>
      </vt:variant>
      <vt:variant>
        <vt:i4>1572908</vt:i4>
      </vt:variant>
      <vt:variant>
        <vt:i4>15</vt:i4>
      </vt:variant>
      <vt:variant>
        <vt:i4>0</vt:i4>
      </vt:variant>
      <vt:variant>
        <vt:i4>5</vt:i4>
      </vt:variant>
      <vt:variant>
        <vt:lpwstr>mailto:bharwood@caesars.com</vt:lpwstr>
      </vt:variant>
      <vt:variant>
        <vt:lpwstr/>
      </vt:variant>
      <vt:variant>
        <vt:i4>4915271</vt:i4>
      </vt:variant>
      <vt:variant>
        <vt:i4>12</vt:i4>
      </vt:variant>
      <vt:variant>
        <vt:i4>0</vt:i4>
      </vt:variant>
      <vt:variant>
        <vt:i4>5</vt:i4>
      </vt:variant>
      <vt:variant>
        <vt:lpwstr>http://www.caesars.com/corporate</vt:lpwstr>
      </vt:variant>
      <vt:variant>
        <vt:lpwstr/>
      </vt:variant>
      <vt:variant>
        <vt:i4>6225989</vt:i4>
      </vt:variant>
      <vt:variant>
        <vt:i4>9</vt:i4>
      </vt:variant>
      <vt:variant>
        <vt:i4>0</vt:i4>
      </vt:variant>
      <vt:variant>
        <vt:i4>5</vt:i4>
      </vt:variant>
      <vt:variant>
        <vt:lpwstr>https://www.caesars.com/corporate</vt:lpwstr>
      </vt:variant>
      <vt:variant>
        <vt:lpwstr/>
      </vt:variant>
      <vt:variant>
        <vt:i4>8126564</vt:i4>
      </vt:variant>
      <vt:variant>
        <vt:i4>6</vt:i4>
      </vt:variant>
      <vt:variant>
        <vt:i4>0</vt:i4>
      </vt:variant>
      <vt:variant>
        <vt:i4>5</vt:i4>
      </vt:variant>
      <vt:variant>
        <vt:lpwstr>https://newsroom.caesars.com/press-releases/press-release-details/2024/Caesars-Sportsbook-Recognized-for-Responsible-Gaming-Practices-with-Top-Accreditation-by-Responsible-Gambling-Councils-RG-Check-Program/default.aspx</vt:lpwstr>
      </vt:variant>
      <vt:variant>
        <vt:lpwstr/>
      </vt:variant>
      <vt:variant>
        <vt:i4>6225984</vt:i4>
      </vt:variant>
      <vt:variant>
        <vt:i4>3</vt:i4>
      </vt:variant>
      <vt:variant>
        <vt:i4>0</vt:i4>
      </vt:variant>
      <vt:variant>
        <vt:i4>5</vt:i4>
      </vt:variant>
      <vt:variant>
        <vt:lpwstr>https://www.caesars.com/myrewards</vt:lpwstr>
      </vt:variant>
      <vt:variant>
        <vt:lpwstr/>
      </vt:variant>
      <vt:variant>
        <vt:i4>7340094</vt:i4>
      </vt:variant>
      <vt:variant>
        <vt:i4>0</vt:i4>
      </vt:variant>
      <vt:variant>
        <vt:i4>0</vt:i4>
      </vt:variant>
      <vt:variant>
        <vt:i4>5</vt:i4>
      </vt:variant>
      <vt:variant>
        <vt:lpwstr>https://caesarspalaceonline.com/get-the-app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Holden</dc:creator>
  <cp:keywords/>
  <dc:description/>
  <cp:lastModifiedBy>Brad Harwood</cp:lastModifiedBy>
  <cp:revision>2</cp:revision>
  <dcterms:created xsi:type="dcterms:W3CDTF">2026-06-05T22:35:00Z</dcterms:created>
  <dcterms:modified xsi:type="dcterms:W3CDTF">2026-06-05T22:35:00Z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9c3b456b-9627-4d5f-8a38-3ec984901c63</vt:lpwstr>
  </property>
</Properties>
</file>