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F47E" w14:textId="56535D60" w:rsidR="00695A94" w:rsidRPr="00CE3B39" w:rsidRDefault="00695A94" w:rsidP="009D2262">
      <w:pPr>
        <w:jc w:val="center"/>
        <w:rPr>
          <w:rFonts w:ascii="Calibri" w:hAnsi="Calibri" w:cs="Calibri"/>
        </w:rPr>
      </w:pPr>
      <w:r w:rsidRPr="00CE3B39">
        <w:rPr>
          <w:rFonts w:ascii="Calibri" w:hAnsi="Calibri" w:cs="Calibri"/>
          <w:noProof/>
        </w:rPr>
        <w:drawing>
          <wp:inline distT="0" distB="0" distL="0" distR="0" wp14:anchorId="54614537" wp14:editId="441DEBED">
            <wp:extent cx="1200150" cy="1000125"/>
            <wp:effectExtent l="0" t="0" r="0" b="9525"/>
            <wp:docPr id="44455054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50549" name="Picture 2" descr="A black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000125"/>
                    </a:xfrm>
                    <a:prstGeom prst="rect">
                      <a:avLst/>
                    </a:prstGeom>
                    <a:noFill/>
                    <a:ln>
                      <a:noFill/>
                    </a:ln>
                  </pic:spPr>
                </pic:pic>
              </a:graphicData>
            </a:graphic>
          </wp:inline>
        </w:drawing>
      </w:r>
    </w:p>
    <w:p w14:paraId="32C3424E" w14:textId="7FFF0B6F" w:rsidR="00695A94" w:rsidRPr="00CE3B39" w:rsidRDefault="00695A94" w:rsidP="00695A94">
      <w:pPr>
        <w:rPr>
          <w:rFonts w:ascii="Calibri" w:hAnsi="Calibri" w:cs="Calibri"/>
        </w:rPr>
      </w:pPr>
      <w:r w:rsidRPr="00CE3B39">
        <w:rPr>
          <w:rFonts w:ascii="Calibri" w:hAnsi="Calibri" w:cs="Calibri"/>
          <w:b/>
          <w:bCs/>
        </w:rPr>
        <w:t>FOR IMMEDIATE RELEASE</w:t>
      </w:r>
    </w:p>
    <w:p w14:paraId="65F023AF" w14:textId="3BB163BE" w:rsidR="00CA3877" w:rsidRPr="00CE3B39" w:rsidRDefault="007E7935" w:rsidP="364135D1">
      <w:pPr>
        <w:jc w:val="center"/>
        <w:rPr>
          <w:rFonts w:ascii="Calibri" w:hAnsi="Calibri" w:cs="Calibri"/>
          <w:i/>
          <w:iCs/>
        </w:rPr>
      </w:pPr>
      <w:r>
        <w:rPr>
          <w:rFonts w:ascii="Calibri" w:hAnsi="Calibri" w:cs="Calibri"/>
          <w:b/>
          <w:bCs/>
          <w:sz w:val="28"/>
          <w:szCs w:val="28"/>
        </w:rPr>
        <w:t xml:space="preserve">Historic </w:t>
      </w:r>
      <w:r w:rsidR="00695A94" w:rsidRPr="364135D1">
        <w:rPr>
          <w:rFonts w:ascii="Calibri" w:hAnsi="Calibri" w:cs="Calibri"/>
          <w:b/>
          <w:bCs/>
          <w:sz w:val="28"/>
          <w:szCs w:val="28"/>
        </w:rPr>
        <w:t>Jackpot Alert!</w:t>
      </w:r>
      <w:r w:rsidR="00AF5743">
        <w:br/>
      </w:r>
      <w:r w:rsidR="001A72CC" w:rsidRPr="001A72CC">
        <w:rPr>
          <w:rFonts w:ascii="Calibri" w:hAnsi="Calibri" w:cs="Calibri"/>
          <w:b/>
          <w:bCs/>
          <w:sz w:val="28"/>
          <w:szCs w:val="28"/>
        </w:rPr>
        <w:t>New Jersey Player Wins More Than $1.2 Million in Largest Online Jackpot Ever Awarded Across Caesars Entertainment’s Online Casino Platforms</w:t>
      </w:r>
      <w:r w:rsidR="00AF5743">
        <w:br/>
      </w:r>
      <w:r w:rsidR="009B3D3F" w:rsidRPr="009B3D3F">
        <w:rPr>
          <w:rFonts w:ascii="Calibri" w:hAnsi="Calibri" w:cs="Calibri"/>
          <w:i/>
          <w:iCs/>
        </w:rPr>
        <w:t>IGT PlayDigital’s MegaJackpots</w:t>
      </w:r>
      <w:r w:rsidR="00687A7E">
        <w:rPr>
          <w:rFonts w:ascii="Calibri" w:hAnsi="Calibri" w:cs="Calibri"/>
          <w:i/>
          <w:iCs/>
        </w:rPr>
        <w:t xml:space="preserve"> </w:t>
      </w:r>
      <w:r w:rsidR="00687A7E" w:rsidRPr="009B3D3F">
        <w:rPr>
          <w:rFonts w:ascii="Calibri" w:hAnsi="Calibri" w:cs="Calibri"/>
          <w:i/>
          <w:iCs/>
        </w:rPr>
        <w:t>Cash Eruption</w:t>
      </w:r>
      <w:r w:rsidR="009B3D3F" w:rsidRPr="009B3D3F">
        <w:rPr>
          <w:rFonts w:ascii="Calibri" w:hAnsi="Calibri" w:cs="Calibri"/>
          <w:i/>
          <w:iCs/>
        </w:rPr>
        <w:t xml:space="preserve"> </w:t>
      </w:r>
      <w:r w:rsidR="00E64F94" w:rsidRPr="00E64F94">
        <w:rPr>
          <w:rFonts w:ascii="Calibri" w:hAnsi="Calibri" w:cs="Calibri"/>
          <w:i/>
          <w:iCs/>
        </w:rPr>
        <w:t xml:space="preserve">delivers record online payout </w:t>
      </w:r>
      <w:r w:rsidR="00E64F94">
        <w:rPr>
          <w:rFonts w:ascii="Calibri" w:hAnsi="Calibri" w:cs="Calibri"/>
          <w:i/>
          <w:iCs/>
        </w:rPr>
        <w:br/>
      </w:r>
      <w:r w:rsidR="00E64F94" w:rsidRPr="00E64F94">
        <w:rPr>
          <w:rFonts w:ascii="Calibri" w:hAnsi="Calibri" w:cs="Calibri"/>
          <w:i/>
          <w:iCs/>
        </w:rPr>
        <w:t>on Caesars Palace Online Casino, building on major wins on the title in 2025</w:t>
      </w:r>
    </w:p>
    <w:p w14:paraId="512E15F3" w14:textId="30FC8BA3" w:rsidR="000F1AE3" w:rsidRPr="00CE3B39" w:rsidRDefault="000F1AE3" w:rsidP="000F1AE3">
      <w:pPr>
        <w:jc w:val="center"/>
        <w:rPr>
          <w:rFonts w:ascii="Calibri" w:hAnsi="Calibri" w:cs="Calibri"/>
          <w:i/>
          <w:iCs/>
          <w:sz w:val="20"/>
          <w:szCs w:val="20"/>
        </w:rPr>
      </w:pPr>
      <w:r w:rsidRPr="00CE3B39">
        <w:rPr>
          <w:rFonts w:ascii="Calibri" w:hAnsi="Calibri" w:cs="Calibri"/>
          <w:i/>
          <w:iCs/>
          <w:sz w:val="20"/>
          <w:szCs w:val="20"/>
        </w:rPr>
        <w:t xml:space="preserve">*For downloadable assets, click </w:t>
      </w:r>
      <w:hyperlink r:id="rId8" w:history="1">
        <w:r w:rsidRPr="002E7C62">
          <w:rPr>
            <w:rStyle w:val="Hyperlink"/>
            <w:rFonts w:ascii="Calibri" w:hAnsi="Calibri" w:cs="Calibri"/>
            <w:i/>
            <w:iCs/>
            <w:sz w:val="20"/>
            <w:szCs w:val="20"/>
          </w:rPr>
          <w:t>here</w:t>
        </w:r>
      </w:hyperlink>
      <w:r w:rsidRPr="000A7EE1">
        <w:rPr>
          <w:rFonts w:ascii="Calibri" w:hAnsi="Calibri" w:cs="Calibri"/>
          <w:i/>
          <w:iCs/>
          <w:sz w:val="20"/>
          <w:szCs w:val="20"/>
        </w:rPr>
        <w:t>*</w:t>
      </w:r>
    </w:p>
    <w:p w14:paraId="64F07CAB" w14:textId="781642DA" w:rsidR="00540FD4" w:rsidRDefault="00695A94" w:rsidP="00540FD4">
      <w:pPr>
        <w:rPr>
          <w:rFonts w:ascii="Calibri" w:hAnsi="Calibri" w:cs="Calibri"/>
        </w:rPr>
      </w:pPr>
      <w:r w:rsidRPr="00C64293">
        <w:rPr>
          <w:rFonts w:ascii="Calibri" w:hAnsi="Calibri" w:cs="Calibri"/>
          <w:b/>
          <w:bCs/>
        </w:rPr>
        <w:t>LAS VEGAS (</w:t>
      </w:r>
      <w:r w:rsidR="008068B8">
        <w:rPr>
          <w:rFonts w:ascii="Calibri" w:hAnsi="Calibri" w:cs="Calibri"/>
          <w:b/>
          <w:bCs/>
        </w:rPr>
        <w:t>Jan</w:t>
      </w:r>
      <w:r w:rsidRPr="00C64293">
        <w:rPr>
          <w:rFonts w:ascii="Calibri" w:hAnsi="Calibri" w:cs="Calibri"/>
          <w:b/>
          <w:bCs/>
        </w:rPr>
        <w:t xml:space="preserve">. </w:t>
      </w:r>
      <w:r w:rsidR="0097210B">
        <w:rPr>
          <w:rFonts w:ascii="Calibri" w:hAnsi="Calibri" w:cs="Calibri"/>
          <w:b/>
          <w:bCs/>
        </w:rPr>
        <w:t>27</w:t>
      </w:r>
      <w:r w:rsidRPr="00C64293">
        <w:rPr>
          <w:rFonts w:ascii="Calibri" w:hAnsi="Calibri" w:cs="Calibri"/>
          <w:b/>
          <w:bCs/>
        </w:rPr>
        <w:t>, 202</w:t>
      </w:r>
      <w:r w:rsidR="008A357D">
        <w:rPr>
          <w:rFonts w:ascii="Calibri" w:hAnsi="Calibri" w:cs="Calibri"/>
          <w:b/>
          <w:bCs/>
        </w:rPr>
        <w:t>6</w:t>
      </w:r>
      <w:r w:rsidRPr="00C64293">
        <w:rPr>
          <w:rFonts w:ascii="Calibri" w:hAnsi="Calibri" w:cs="Calibri"/>
          <w:b/>
          <w:bCs/>
        </w:rPr>
        <w:t>)</w:t>
      </w:r>
      <w:r w:rsidRPr="00C64293">
        <w:rPr>
          <w:rFonts w:ascii="Calibri" w:hAnsi="Calibri" w:cs="Calibri"/>
        </w:rPr>
        <w:t> – </w:t>
      </w:r>
      <w:r w:rsidR="009B3D3F" w:rsidRPr="009B3D3F">
        <w:rPr>
          <w:rFonts w:ascii="Calibri" w:hAnsi="Calibri" w:cs="Calibri"/>
        </w:rPr>
        <w:t xml:space="preserve">Caesars Entertainment announced today that one lucky Caesars Rewards member playing on Caesars Palace Online Casino in New Jersey won </w:t>
      </w:r>
      <w:r w:rsidR="009B3D3F" w:rsidRPr="009B3D3F">
        <w:rPr>
          <w:rFonts w:ascii="Calibri" w:hAnsi="Calibri" w:cs="Calibri"/>
          <w:b/>
          <w:bCs/>
        </w:rPr>
        <w:t>$1,247,834.01</w:t>
      </w:r>
      <w:r w:rsidR="009B3D3F" w:rsidRPr="009B3D3F">
        <w:rPr>
          <w:rFonts w:ascii="Calibri" w:hAnsi="Calibri" w:cs="Calibri"/>
        </w:rPr>
        <w:t xml:space="preserve"> </w:t>
      </w:r>
      <w:r w:rsidR="00920F01">
        <w:rPr>
          <w:rFonts w:ascii="Calibri" w:hAnsi="Calibri" w:cs="Calibri"/>
        </w:rPr>
        <w:t xml:space="preserve">from a $30 bet </w:t>
      </w:r>
      <w:r w:rsidR="009B3D3F" w:rsidRPr="009B3D3F">
        <w:rPr>
          <w:rFonts w:ascii="Calibri" w:hAnsi="Calibri" w:cs="Calibri"/>
        </w:rPr>
        <w:t xml:space="preserve">on IGT PlayDigital’s </w:t>
      </w:r>
      <w:r w:rsidR="009B3D3F" w:rsidRPr="009B3D3F">
        <w:rPr>
          <w:rFonts w:ascii="Calibri" w:hAnsi="Calibri" w:cs="Calibri"/>
          <w:i/>
          <w:iCs/>
        </w:rPr>
        <w:t>MegaJackpots</w:t>
      </w:r>
      <w:r w:rsidR="006B4D84" w:rsidRPr="006B4D84">
        <w:rPr>
          <w:rFonts w:ascii="Calibri" w:hAnsi="Calibri" w:cs="Calibri"/>
          <w:i/>
          <w:iCs/>
          <w:vertAlign w:val="superscript"/>
        </w:rPr>
        <w:t>™</w:t>
      </w:r>
      <w:r w:rsidR="00687A7E">
        <w:rPr>
          <w:rFonts w:ascii="Calibri" w:hAnsi="Calibri" w:cs="Calibri"/>
          <w:i/>
          <w:iCs/>
        </w:rPr>
        <w:t xml:space="preserve"> </w:t>
      </w:r>
      <w:r w:rsidR="00687A7E" w:rsidRPr="009B3D3F">
        <w:rPr>
          <w:rFonts w:ascii="Calibri" w:hAnsi="Calibri" w:cs="Calibri"/>
          <w:i/>
          <w:iCs/>
        </w:rPr>
        <w:t>Cash Eruption</w:t>
      </w:r>
      <w:r w:rsidR="006B4D84" w:rsidRPr="006B4D84">
        <w:rPr>
          <w:rFonts w:ascii="Calibri" w:hAnsi="Calibri" w:cs="Calibri"/>
          <w:i/>
          <w:iCs/>
          <w:vertAlign w:val="superscript"/>
        </w:rPr>
        <w:t>™</w:t>
      </w:r>
      <w:r w:rsidR="009B3D3F" w:rsidRPr="009B3D3F">
        <w:rPr>
          <w:rFonts w:ascii="Calibri" w:hAnsi="Calibri" w:cs="Calibri"/>
        </w:rPr>
        <w:t xml:space="preserve">, </w:t>
      </w:r>
      <w:r w:rsidR="009B3D3F" w:rsidRPr="00920F01">
        <w:rPr>
          <w:rFonts w:ascii="Calibri" w:hAnsi="Calibri" w:cs="Calibri"/>
          <w:b/>
          <w:bCs/>
        </w:rPr>
        <w:t>the largest online jackpot ever awarded across Caesars’ online casino brands</w:t>
      </w:r>
      <w:r w:rsidR="009B3D3F" w:rsidRPr="009B3D3F">
        <w:rPr>
          <w:rFonts w:ascii="Calibri" w:hAnsi="Calibri" w:cs="Calibri"/>
        </w:rPr>
        <w:t>. The jackpot was won on Saturday, Jan. 18, 2026.</w:t>
      </w:r>
    </w:p>
    <w:p w14:paraId="7C1C7186" w14:textId="77777777" w:rsidR="004B75CF" w:rsidRPr="004B75CF" w:rsidRDefault="004B75CF" w:rsidP="004B75CF">
      <w:pPr>
        <w:rPr>
          <w:rFonts w:ascii="Calibri" w:hAnsi="Calibri" w:cs="Calibri"/>
        </w:rPr>
      </w:pPr>
      <w:r w:rsidRPr="004B75CF">
        <w:rPr>
          <w:rFonts w:ascii="Calibri" w:hAnsi="Calibri" w:cs="Calibri"/>
        </w:rPr>
        <w:t>“I was so excited, I couldn’t believe it,” said the Caesars Rewards member who won the jackpot. “I plan to take care of my family.”</w:t>
      </w:r>
    </w:p>
    <w:p w14:paraId="41EEE125" w14:textId="3B61891C" w:rsidR="004B75CF" w:rsidRDefault="004B75CF" w:rsidP="004B75CF">
      <w:pPr>
        <w:rPr>
          <w:rFonts w:ascii="Calibri" w:hAnsi="Calibri" w:cs="Calibri"/>
        </w:rPr>
      </w:pPr>
      <w:r w:rsidRPr="004B75CF">
        <w:rPr>
          <w:rFonts w:ascii="Calibri" w:hAnsi="Calibri" w:cs="Calibri"/>
        </w:rPr>
        <w:t xml:space="preserve">The record win builds on recent jackpot history for </w:t>
      </w:r>
      <w:r w:rsidRPr="004B75CF">
        <w:rPr>
          <w:rFonts w:ascii="Calibri" w:hAnsi="Calibri" w:cs="Calibri"/>
          <w:i/>
          <w:iCs/>
        </w:rPr>
        <w:t>MegaJackpots Cash Eruption</w:t>
      </w:r>
      <w:r w:rsidRPr="004B75CF">
        <w:rPr>
          <w:rFonts w:ascii="Calibri" w:hAnsi="Calibri" w:cs="Calibri"/>
        </w:rPr>
        <w:t xml:space="preserve"> across Caesars’ online casino platforms. In September 2025, more than $1.1 million in jackpots was awarded on the same title via two wide</w:t>
      </w:r>
      <w:r w:rsidR="00037492">
        <w:rPr>
          <w:rFonts w:ascii="Calibri" w:hAnsi="Calibri" w:cs="Calibri"/>
        </w:rPr>
        <w:t xml:space="preserve"> </w:t>
      </w:r>
      <w:r w:rsidRPr="004B75CF">
        <w:rPr>
          <w:rFonts w:ascii="Calibri" w:hAnsi="Calibri" w:cs="Calibri"/>
        </w:rPr>
        <w:t>area progressive jackpots won over a seven</w:t>
      </w:r>
      <w:r>
        <w:rPr>
          <w:rFonts w:ascii="Calibri" w:hAnsi="Calibri" w:cs="Calibri"/>
        </w:rPr>
        <w:t xml:space="preserve"> </w:t>
      </w:r>
      <w:r w:rsidRPr="004B75CF">
        <w:rPr>
          <w:rFonts w:ascii="Calibri" w:hAnsi="Calibri" w:cs="Calibri"/>
        </w:rPr>
        <w:t>day span.</w:t>
      </w:r>
    </w:p>
    <w:p w14:paraId="75DCB642" w14:textId="77777777" w:rsidR="008D7F88" w:rsidRDefault="008D7F88" w:rsidP="003E5820">
      <w:pPr>
        <w:rPr>
          <w:rFonts w:ascii="Calibri" w:hAnsi="Calibri" w:cs="Calibri"/>
        </w:rPr>
      </w:pPr>
      <w:r w:rsidRPr="008D7F88">
        <w:rPr>
          <w:rFonts w:ascii="Calibri" w:hAnsi="Calibri" w:cs="Calibri"/>
        </w:rPr>
        <w:t xml:space="preserve">The first of those wins was a $603,667.06 jackpot claimed from a $15 bet on Sept. 18, exactly four months before this historic win. Just days later, on Sept. 24, a player claimed a second jackpot of $527,710.07 from a $0.60 bet on the same game, in the same state and on the same platform. </w:t>
      </w:r>
    </w:p>
    <w:p w14:paraId="12D77CA0" w14:textId="7782F422" w:rsidR="00CE5BC2" w:rsidRDefault="00CE5BC2" w:rsidP="003E5820">
      <w:pPr>
        <w:rPr>
          <w:rFonts w:ascii="Calibri" w:hAnsi="Calibri" w:cs="Calibri"/>
        </w:rPr>
      </w:pPr>
      <w:r w:rsidRPr="00CE5BC2">
        <w:rPr>
          <w:rFonts w:ascii="Calibri" w:hAnsi="Calibri" w:cs="Calibri"/>
        </w:rPr>
        <w:t>“</w:t>
      </w:r>
      <w:r w:rsidRPr="00D74E5F">
        <w:rPr>
          <w:rFonts w:ascii="Calibri" w:hAnsi="Calibri" w:cs="Calibri"/>
          <w:i/>
          <w:iCs/>
        </w:rPr>
        <w:t>MegaJackpots</w:t>
      </w:r>
      <w:r w:rsidRPr="00CE5BC2">
        <w:rPr>
          <w:rFonts w:ascii="Calibri" w:hAnsi="Calibri" w:cs="Calibri"/>
        </w:rPr>
        <w:t xml:space="preserve"> </w:t>
      </w:r>
      <w:r w:rsidR="00655888" w:rsidRPr="009B3D3F">
        <w:rPr>
          <w:rFonts w:ascii="Calibri" w:hAnsi="Calibri" w:cs="Calibri"/>
          <w:i/>
          <w:iCs/>
        </w:rPr>
        <w:t xml:space="preserve">Cash Eruption </w:t>
      </w:r>
      <w:r w:rsidRPr="00CE5BC2">
        <w:rPr>
          <w:rFonts w:ascii="Calibri" w:hAnsi="Calibri" w:cs="Calibri"/>
        </w:rPr>
        <w:t>continues to deliver memorable moments for our players on Caesars Palace Online Casino,” said Matthew Sunderland, Senior Vice President and Chief iGaming Officer at Caesars Digital. “When a favorite title reaches milestones like this, it reinforces why we focus on a seamless experience and engaging content that resonates with our players.”</w:t>
      </w:r>
    </w:p>
    <w:p w14:paraId="35141637" w14:textId="109C9982" w:rsidR="00F95C2F" w:rsidRDefault="00F95C2F" w:rsidP="003E5820">
      <w:pPr>
        <w:rPr>
          <w:rFonts w:ascii="Calibri" w:hAnsi="Calibri" w:cs="Calibri"/>
        </w:rPr>
      </w:pPr>
      <w:r w:rsidRPr="00C64293">
        <w:rPr>
          <w:rFonts w:ascii="Calibri" w:hAnsi="Calibri" w:cs="Calibri"/>
          <w:i/>
          <w:iCs/>
        </w:rPr>
        <w:t>MegaJackpots</w:t>
      </w:r>
      <w:r w:rsidR="00655888">
        <w:rPr>
          <w:rFonts w:ascii="Calibri" w:hAnsi="Calibri" w:cs="Calibri"/>
          <w:i/>
          <w:iCs/>
        </w:rPr>
        <w:t xml:space="preserve"> </w:t>
      </w:r>
      <w:r w:rsidR="00655888" w:rsidRPr="009B3D3F">
        <w:rPr>
          <w:rFonts w:ascii="Calibri" w:hAnsi="Calibri" w:cs="Calibri"/>
          <w:i/>
          <w:iCs/>
        </w:rPr>
        <w:t xml:space="preserve">Cash </w:t>
      </w:r>
      <w:r w:rsidR="00D0178C" w:rsidRPr="009B3D3F">
        <w:rPr>
          <w:rFonts w:ascii="Calibri" w:hAnsi="Calibri" w:cs="Calibri"/>
          <w:i/>
          <w:iCs/>
        </w:rPr>
        <w:t xml:space="preserve">Eruption </w:t>
      </w:r>
      <w:r w:rsidR="00D0178C" w:rsidRPr="00C64293">
        <w:rPr>
          <w:rFonts w:ascii="Calibri" w:hAnsi="Calibri" w:cs="Calibri"/>
        </w:rPr>
        <w:t>is</w:t>
      </w:r>
      <w:r w:rsidR="00CE5BC2" w:rsidRPr="00CE5BC2">
        <w:rPr>
          <w:rFonts w:ascii="Calibri" w:hAnsi="Calibri" w:cs="Calibri"/>
        </w:rPr>
        <w:t xml:space="preserve"> part of IGT PlayDigital’s popular progressive slot series, known for its escalating prize pools across multiple states and engaging gameplay.</w:t>
      </w:r>
    </w:p>
    <w:p w14:paraId="583F59D7" w14:textId="5ED89A55" w:rsidR="006B4D84" w:rsidRDefault="006B4D84" w:rsidP="003E5820">
      <w:pPr>
        <w:rPr>
          <w:rFonts w:ascii="Calibri" w:hAnsi="Calibri" w:cs="Calibri"/>
        </w:rPr>
      </w:pPr>
      <w:r w:rsidRPr="006B4D84">
        <w:rPr>
          <w:rFonts w:ascii="Calibri" w:hAnsi="Calibri" w:cs="Calibri"/>
        </w:rPr>
        <w:lastRenderedPageBreak/>
        <w:t>“MegaJackpots Cash Eruption continues its reign as one of the most widely enjoyed games in the IGT PlayDigital content portfolio and a $1.2 million jackpot payout can even further boost the game’s popularity with players,” said Gil Rotem, IGT CEO Digital. “Caesars Palace Online Casino is maximizing the reach of MegaJackpots Cash Eruption across its online casino platforms, and lucky players are reaping the benefits via record-setting jackpots in multiple states.”</w:t>
      </w:r>
    </w:p>
    <w:p w14:paraId="7F469D9B" w14:textId="71E7C338" w:rsidR="000176F6" w:rsidRPr="00C64293" w:rsidRDefault="005340E0" w:rsidP="00695A94">
      <w:pPr>
        <w:rPr>
          <w:rFonts w:ascii="Calibri" w:hAnsi="Calibri" w:cs="Calibri"/>
        </w:rPr>
      </w:pPr>
      <w:r w:rsidRPr="00C64293">
        <w:rPr>
          <w:rFonts w:ascii="Calibri" w:hAnsi="Calibri" w:cs="Calibri"/>
        </w:rPr>
        <w:t xml:space="preserve">Players 21 and older can </w:t>
      </w:r>
      <w:hyperlink r:id="rId9" w:history="1">
        <w:r w:rsidR="00695A94" w:rsidRPr="00C64293">
          <w:rPr>
            <w:rStyle w:val="Hyperlink"/>
            <w:rFonts w:ascii="Calibri" w:hAnsi="Calibri" w:cs="Calibri"/>
          </w:rPr>
          <w:t>download</w:t>
        </w:r>
      </w:hyperlink>
      <w:r w:rsidR="00695A94" w:rsidRPr="00C64293">
        <w:rPr>
          <w:rFonts w:ascii="Calibri" w:hAnsi="Calibri" w:cs="Calibri"/>
        </w:rPr>
        <w:t xml:space="preserve"> </w:t>
      </w:r>
      <w:r w:rsidR="00AA0D8D" w:rsidRPr="00C64293">
        <w:rPr>
          <w:rFonts w:ascii="Calibri" w:hAnsi="Calibri" w:cs="Calibri"/>
        </w:rPr>
        <w:t xml:space="preserve">the Caesars Palace Online Casino, Horseshoe Online Casino, or Caesars Sportsbook &amp; Casino apps on iOS or Android, or visit the platforms on desktop. These platforms are available in New Jersey, Pennsylvania, Michigan, Ontario and West Virginia, </w:t>
      </w:r>
      <w:r w:rsidR="00A7685C" w:rsidRPr="00A7685C">
        <w:rPr>
          <w:rFonts w:ascii="Calibri" w:hAnsi="Calibri" w:cs="Calibri"/>
        </w:rPr>
        <w:t>featuring Caesars</w:t>
      </w:r>
      <w:r w:rsidR="00A7685C" w:rsidRPr="00A7685C">
        <w:rPr>
          <w:rFonts w:ascii="Cambria Math" w:hAnsi="Cambria Math" w:cs="Cambria Math"/>
        </w:rPr>
        <w:t>‑</w:t>
      </w:r>
      <w:r w:rsidR="00A7685C" w:rsidRPr="00A7685C">
        <w:rPr>
          <w:rFonts w:ascii="Calibri" w:hAnsi="Calibri" w:cs="Calibri"/>
        </w:rPr>
        <w:t>branded games, timeless casino classics and titles from top game providers</w:t>
      </w:r>
      <w:r w:rsidR="009A0842">
        <w:rPr>
          <w:rFonts w:ascii="Calibri" w:hAnsi="Calibri" w:cs="Calibri"/>
        </w:rPr>
        <w:t>.</w:t>
      </w:r>
      <w:r w:rsidR="00B23F02">
        <w:rPr>
          <w:rFonts w:ascii="Calibri" w:hAnsi="Calibri" w:cs="Calibri"/>
        </w:rPr>
        <w:t xml:space="preserve"> </w:t>
      </w:r>
    </w:p>
    <w:p w14:paraId="1330FDF7" w14:textId="2E1D2AAC" w:rsidR="000176F6" w:rsidRPr="00C64293" w:rsidRDefault="00AA0D8D" w:rsidP="00695A94">
      <w:pPr>
        <w:rPr>
          <w:rFonts w:ascii="Calibri" w:hAnsi="Calibri" w:cs="Calibri"/>
        </w:rPr>
      </w:pPr>
      <w:r w:rsidRPr="00C64293">
        <w:rPr>
          <w:rFonts w:ascii="Calibri" w:hAnsi="Calibri" w:cs="Calibri"/>
        </w:rPr>
        <w:t>E</w:t>
      </w:r>
      <w:r w:rsidR="00695A94" w:rsidRPr="00C64293">
        <w:rPr>
          <w:rFonts w:ascii="Calibri" w:hAnsi="Calibri" w:cs="Calibri"/>
        </w:rPr>
        <w:t xml:space="preserve">ach platform integrates </w:t>
      </w:r>
      <w:hyperlink r:id="rId10" w:history="1">
        <w:r w:rsidR="00695A94" w:rsidRPr="00C64293">
          <w:rPr>
            <w:rStyle w:val="Hyperlink"/>
            <w:rFonts w:ascii="Calibri" w:hAnsi="Calibri" w:cs="Calibri"/>
          </w:rPr>
          <w:t>Caesars Rewards</w:t>
        </w:r>
      </w:hyperlink>
      <w:r w:rsidR="004053DA" w:rsidRPr="004053DA">
        <w:rPr>
          <w:rFonts w:ascii="Calibri" w:hAnsi="Calibri" w:cs="Calibri"/>
          <w:vertAlign w:val="superscript"/>
        </w:rPr>
        <w:t>®</w:t>
      </w:r>
      <w:r w:rsidR="00695A94" w:rsidRPr="00C64293">
        <w:rPr>
          <w:rFonts w:ascii="Calibri" w:hAnsi="Calibri" w:cs="Calibri"/>
        </w:rPr>
        <w:t xml:space="preserve">, </w:t>
      </w:r>
      <w:r w:rsidR="00163AF8" w:rsidRPr="00C64293">
        <w:rPr>
          <w:rFonts w:ascii="Calibri" w:hAnsi="Calibri" w:cs="Calibri"/>
        </w:rPr>
        <w:t xml:space="preserve">the Company's industry-leading loyalty program. </w:t>
      </w:r>
      <w:r w:rsidR="009A0842" w:rsidRPr="009A0842">
        <w:rPr>
          <w:rFonts w:ascii="Calibri" w:hAnsi="Calibri" w:cs="Calibri"/>
        </w:rPr>
        <w:t>Players in the United States earn Reward Credits with every wager, redeemable for experiences at Caesars destinations across North America, including hotel stays, dining and entertainmen</w:t>
      </w:r>
      <w:r w:rsidR="009A0842">
        <w:rPr>
          <w:rFonts w:ascii="Calibri" w:hAnsi="Calibri" w:cs="Calibri"/>
        </w:rPr>
        <w:t>t.</w:t>
      </w:r>
      <w:r w:rsidR="00B23F02">
        <w:rPr>
          <w:rFonts w:ascii="Calibri" w:hAnsi="Calibri" w:cs="Calibri"/>
        </w:rPr>
        <w:t xml:space="preserve"> </w:t>
      </w:r>
      <w:r w:rsidR="00B23F02" w:rsidRPr="00B23F02">
        <w:rPr>
          <w:rFonts w:ascii="Calibri" w:hAnsi="Calibri" w:cs="Calibri"/>
        </w:rPr>
        <w:t xml:space="preserve">Built-in </w:t>
      </w:r>
      <w:r w:rsidR="004A7333">
        <w:rPr>
          <w:rFonts w:ascii="Calibri" w:hAnsi="Calibri" w:cs="Calibri"/>
        </w:rPr>
        <w:t>R</w:t>
      </w:r>
      <w:r w:rsidR="00B23F02" w:rsidRPr="00B23F02">
        <w:rPr>
          <w:rFonts w:ascii="Calibri" w:hAnsi="Calibri" w:cs="Calibri"/>
        </w:rPr>
        <w:t xml:space="preserve">esponsible </w:t>
      </w:r>
      <w:r w:rsidR="004A7333">
        <w:rPr>
          <w:rFonts w:ascii="Calibri" w:hAnsi="Calibri" w:cs="Calibri"/>
        </w:rPr>
        <w:t>G</w:t>
      </w:r>
      <w:r w:rsidR="00B23F02" w:rsidRPr="00B23F02">
        <w:rPr>
          <w:rFonts w:ascii="Calibri" w:hAnsi="Calibri" w:cs="Calibri"/>
        </w:rPr>
        <w:t>aming tools, including deposit limits, spending limits, daily time limits, and cool-off periods, help ensure a safe and enjoyable experience.</w:t>
      </w:r>
    </w:p>
    <w:p w14:paraId="596F8EB8" w14:textId="77777777" w:rsidR="00C61AE2" w:rsidRPr="00C64293" w:rsidRDefault="00C61AE2" w:rsidP="00C61AE2">
      <w:pPr>
        <w:pStyle w:val="NormalWeb"/>
        <w:spacing w:before="0" w:beforeAutospacing="0" w:after="0" w:afterAutospacing="0" w:line="252" w:lineRule="auto"/>
        <w:rPr>
          <w:sz w:val="24"/>
          <w:szCs w:val="24"/>
        </w:rPr>
      </w:pPr>
      <w:r w:rsidRPr="00C64293">
        <w:rPr>
          <w:sz w:val="24"/>
          <w:szCs w:val="24"/>
        </w:rPr>
        <w:t xml:space="preserve">Caesars Entertainment is an industry leader in Responsible Gaming, known for pioneering Responsible Gaming awareness and education. In 1989, Caesars became the first commercial casino company to address problem gambling by launching the industry’s first Responsible Gaming program, Project 21. Today, the Company’s commitment to ensuring all players </w:t>
      </w:r>
      <w:proofErr w:type="gramStart"/>
      <w:r w:rsidRPr="00C64293">
        <w:rPr>
          <w:sz w:val="24"/>
          <w:szCs w:val="24"/>
        </w:rPr>
        <w:t>are</w:t>
      </w:r>
      <w:proofErr w:type="gramEnd"/>
      <w:r w:rsidRPr="00C64293">
        <w:rPr>
          <w:sz w:val="24"/>
          <w:szCs w:val="24"/>
        </w:rPr>
        <w:t xml:space="preserve"> aware of Responsible Gaming resources remains steadfast and spans all of Caesars’ digital platforms and world-class destinations in which it operates. Caesars Entertainment proudly enforces an enhanced 21+ gaming policy that prevents individuals under the age of 21 from using Caesars Rewards and restricts access to its gaming products for individuals under the age of 21.</w:t>
      </w:r>
    </w:p>
    <w:p w14:paraId="27C3108C" w14:textId="77777777" w:rsidR="00C61AE2" w:rsidRPr="00C64293" w:rsidRDefault="00C61AE2" w:rsidP="00C61AE2">
      <w:pPr>
        <w:pStyle w:val="NormalWeb"/>
        <w:spacing w:before="0" w:beforeAutospacing="0" w:after="0" w:afterAutospacing="0" w:line="252" w:lineRule="auto"/>
        <w:rPr>
          <w:sz w:val="24"/>
          <w:szCs w:val="24"/>
        </w:rPr>
      </w:pPr>
    </w:p>
    <w:p w14:paraId="7A190483" w14:textId="2A60EE1F" w:rsidR="00103FCA" w:rsidRDefault="00C61AE2" w:rsidP="00C61AE2">
      <w:pPr>
        <w:pStyle w:val="NormalWeb"/>
        <w:spacing w:before="0" w:beforeAutospacing="0" w:after="0" w:afterAutospacing="0" w:line="252" w:lineRule="auto"/>
        <w:rPr>
          <w:sz w:val="24"/>
          <w:szCs w:val="24"/>
        </w:rPr>
      </w:pPr>
      <w:r w:rsidRPr="00C64293">
        <w:rPr>
          <w:sz w:val="24"/>
          <w:szCs w:val="24"/>
        </w:rPr>
        <w:t xml:space="preserve">In March 2024, Caesars Sportsbook received the prestigious </w:t>
      </w:r>
      <w:hyperlink r:id="rId11" w:history="1">
        <w:r w:rsidRPr="00C64293">
          <w:rPr>
            <w:rStyle w:val="Hyperlink"/>
            <w:sz w:val="24"/>
            <w:szCs w:val="24"/>
          </w:rPr>
          <w:t>RG Check accreditation</w:t>
        </w:r>
      </w:hyperlink>
      <w:r w:rsidRPr="00C64293">
        <w:rPr>
          <w:sz w:val="24"/>
          <w:szCs w:val="24"/>
        </w:rPr>
        <w:t xml:space="preserve"> from the Responsible Gambling Council in Ontario, Canada, which recognizes companies that achieve the highest standards for their Responsible Gaming practices. Just a few months later, the Company was awarded the National Council on Problem Gambling’s award for Corporate Social Responsibility. For more information about Caesars Entertainment's Responsible Gaming program, please visit </w:t>
      </w:r>
      <w:hyperlink r:id="rId12" w:history="1">
        <w:r w:rsidRPr="00C64293">
          <w:rPr>
            <w:rStyle w:val="Hyperlink"/>
            <w:sz w:val="24"/>
            <w:szCs w:val="24"/>
          </w:rPr>
          <w:t>https://www.caesars.com/corporate</w:t>
        </w:r>
      </w:hyperlink>
      <w:r w:rsidRPr="00C64293">
        <w:rPr>
          <w:sz w:val="24"/>
          <w:szCs w:val="24"/>
        </w:rPr>
        <w:t>.</w:t>
      </w:r>
    </w:p>
    <w:p w14:paraId="5099DF44" w14:textId="77777777" w:rsidR="00C0057B" w:rsidRPr="00C64293" w:rsidRDefault="00C0057B" w:rsidP="00C61AE2">
      <w:pPr>
        <w:pStyle w:val="NormalWeb"/>
        <w:spacing w:before="0" w:beforeAutospacing="0" w:after="0" w:afterAutospacing="0" w:line="252" w:lineRule="auto"/>
        <w:rPr>
          <w:sz w:val="24"/>
          <w:szCs w:val="24"/>
        </w:rPr>
      </w:pPr>
    </w:p>
    <w:p w14:paraId="691BBA24" w14:textId="3422930C" w:rsidR="00695A94" w:rsidRPr="00C64293" w:rsidRDefault="000176F6" w:rsidP="00EF3981">
      <w:pPr>
        <w:jc w:val="center"/>
        <w:rPr>
          <w:rFonts w:ascii="Calibri" w:hAnsi="Calibri" w:cs="Calibri"/>
        </w:rPr>
      </w:pPr>
      <w:r w:rsidRPr="00C64293">
        <w:rPr>
          <w:rFonts w:ascii="Calibri" w:hAnsi="Calibri" w:cs="Calibri"/>
          <w:i/>
          <w:iCs/>
        </w:rPr>
        <w:t>###</w:t>
      </w:r>
    </w:p>
    <w:p w14:paraId="6CDEE4BD" w14:textId="36C26A9B" w:rsidR="00695A94" w:rsidRPr="00C64293" w:rsidRDefault="00695A94" w:rsidP="00695A94">
      <w:pPr>
        <w:rPr>
          <w:rFonts w:ascii="Calibri" w:hAnsi="Calibri" w:cs="Calibri"/>
          <w:b/>
          <w:bCs/>
          <w:u w:val="single"/>
        </w:rPr>
      </w:pPr>
      <w:r w:rsidRPr="00C64293">
        <w:rPr>
          <w:rFonts w:ascii="Calibri" w:hAnsi="Calibri" w:cs="Calibri"/>
          <w:b/>
          <w:bCs/>
          <w:u w:val="single"/>
        </w:rPr>
        <w:t xml:space="preserve">About Caesars Entertainment, Inc. </w:t>
      </w:r>
      <w:r w:rsidRPr="00C64293">
        <w:rPr>
          <w:rFonts w:ascii="Calibri" w:hAnsi="Calibri" w:cs="Calibri"/>
        </w:rPr>
        <w:br/>
        <w:t>Caesars Entertainment, Inc. (NASDAQ: CZR) is the largest casino-entertainment Company in the U.S. and one of the world’s most diversified casino-entertainment providers. Since its beginning in Reno, NV</w:t>
      </w:r>
      <w:proofErr w:type="gramStart"/>
      <w:r w:rsidRPr="00C64293">
        <w:rPr>
          <w:rFonts w:ascii="Calibri" w:hAnsi="Calibri" w:cs="Calibri"/>
        </w:rPr>
        <w:t>, in</w:t>
      </w:r>
      <w:proofErr w:type="gramEnd"/>
      <w:r w:rsidRPr="00C64293">
        <w:rPr>
          <w:rFonts w:ascii="Calibri" w:hAnsi="Calibri" w:cs="Calibri"/>
        </w:rPr>
        <w:t xml:space="preserve"> 1937, Caesars Entertainment, Inc. has grown through development of new resorts, expansions and acquisitions. Caesars </w:t>
      </w:r>
      <w:proofErr w:type="gramStart"/>
      <w:r w:rsidRPr="00C64293">
        <w:rPr>
          <w:rFonts w:ascii="Calibri" w:hAnsi="Calibri" w:cs="Calibri"/>
        </w:rPr>
        <w:t>Entertainment,</w:t>
      </w:r>
      <w:proofErr w:type="gramEnd"/>
      <w:r w:rsidRPr="00C64293">
        <w:rPr>
          <w:rFonts w:ascii="Calibri" w:hAnsi="Calibri" w:cs="Calibri"/>
        </w:rPr>
        <w:t xml:space="preserve"> Inc.’s resorts operate primarily </w:t>
      </w:r>
      <w:r w:rsidRPr="00C64293">
        <w:rPr>
          <w:rFonts w:ascii="Calibri" w:hAnsi="Calibri" w:cs="Calibri"/>
        </w:rPr>
        <w:lastRenderedPageBreak/>
        <w:t xml:space="preserve">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employees, suppliers, communities and the environment through its PEOPLE PLANET PLAY framework. Know When </w:t>
      </w:r>
      <w:proofErr w:type="gramStart"/>
      <w:r w:rsidRPr="00C64293">
        <w:rPr>
          <w:rFonts w:ascii="Calibri" w:hAnsi="Calibri" w:cs="Calibri"/>
        </w:rPr>
        <w:t>To</w:t>
      </w:r>
      <w:proofErr w:type="gramEnd"/>
      <w:r w:rsidRPr="00C64293">
        <w:rPr>
          <w:rFonts w:ascii="Calibri" w:hAnsi="Calibri" w:cs="Calibri"/>
        </w:rPr>
        <w:t xml:space="preserve"> Stop Before You </w:t>
      </w:r>
      <w:proofErr w:type="gramStart"/>
      <w:r w:rsidRPr="00C64293">
        <w:rPr>
          <w:rFonts w:ascii="Calibri" w:hAnsi="Calibri" w:cs="Calibri"/>
        </w:rPr>
        <w:t>Start.®</w:t>
      </w:r>
      <w:proofErr w:type="gramEnd"/>
      <w:r w:rsidRPr="00C64293">
        <w:rPr>
          <w:rFonts w:ascii="Calibri" w:hAnsi="Calibri" w:cs="Calibri"/>
        </w:rPr>
        <w:t xml:space="preserve"> Gambling Problem? Call or text 1-800-GAMBLER. For more information, please visit </w:t>
      </w:r>
      <w:hyperlink r:id="rId13" w:history="1">
        <w:r w:rsidRPr="00C64293">
          <w:rPr>
            <w:rStyle w:val="Hyperlink"/>
            <w:rFonts w:ascii="Calibri" w:hAnsi="Calibri" w:cs="Calibri"/>
          </w:rPr>
          <w:t>www.caesars.com/corporate</w:t>
        </w:r>
      </w:hyperlink>
      <w:r w:rsidRPr="00C64293">
        <w:rPr>
          <w:rFonts w:ascii="Calibri" w:hAnsi="Calibri" w:cs="Calibri"/>
        </w:rPr>
        <w:t>.</w:t>
      </w:r>
    </w:p>
    <w:p w14:paraId="3DFA0538" w14:textId="77777777" w:rsidR="00695A94" w:rsidRPr="00C64293" w:rsidRDefault="00695A94" w:rsidP="00695A94">
      <w:pPr>
        <w:rPr>
          <w:rFonts w:ascii="Calibri" w:hAnsi="Calibri" w:cs="Calibri"/>
        </w:rPr>
      </w:pPr>
      <w:r w:rsidRPr="00C64293">
        <w:rPr>
          <w:rFonts w:ascii="Calibri" w:hAnsi="Calibri" w:cs="Calibri"/>
          <w:b/>
          <w:bCs/>
          <w:u w:val="single"/>
        </w:rPr>
        <w:t xml:space="preserve">Responsible Gaming </w:t>
      </w:r>
      <w:r w:rsidRPr="00C64293">
        <w:rPr>
          <w:rFonts w:ascii="Calibri" w:hAnsi="Calibri" w:cs="Calibri"/>
          <w:b/>
          <w:bCs/>
          <w:u w:val="single"/>
        </w:rPr>
        <w:br/>
      </w:r>
      <w:r w:rsidRPr="00C64293">
        <w:rPr>
          <w:rFonts w:ascii="Calibri" w:hAnsi="Calibri" w:cs="Calibri"/>
          <w:b/>
          <w:bCs/>
        </w:rPr>
        <w:t>Online Casino apps &amp; websites available in MI, NJ, PA, WV and ON only.</w:t>
      </w:r>
    </w:p>
    <w:p w14:paraId="1457403B" w14:textId="1D551199" w:rsidR="00695A94" w:rsidRPr="00C64293" w:rsidRDefault="00695A94" w:rsidP="00695A94">
      <w:pPr>
        <w:rPr>
          <w:rFonts w:ascii="Calibri" w:hAnsi="Calibri" w:cs="Calibri"/>
        </w:rPr>
      </w:pPr>
      <w:r w:rsidRPr="00C64293">
        <w:rPr>
          <w:rFonts w:ascii="Calibri" w:hAnsi="Calibri" w:cs="Calibri"/>
        </w:rPr>
        <w:t xml:space="preserve">Must be 21+. See Caesars.com/sportsbook-and-casino, CaesarsPalaceOnline.com, or HorseshoeOnlineCasino.com for full terms. </w:t>
      </w:r>
      <w:proofErr w:type="gramStart"/>
      <w:r w:rsidRPr="00C64293">
        <w:rPr>
          <w:rFonts w:ascii="Calibri" w:hAnsi="Calibri" w:cs="Calibri"/>
        </w:rPr>
        <w:t>Void</w:t>
      </w:r>
      <w:proofErr w:type="gramEnd"/>
      <w:r w:rsidRPr="00C64293">
        <w:rPr>
          <w:rFonts w:ascii="Calibri" w:hAnsi="Calibri" w:cs="Calibri"/>
        </w:rPr>
        <w:t xml:space="preserve"> where prohibited. </w:t>
      </w:r>
    </w:p>
    <w:p w14:paraId="082B72F5" w14:textId="12968C69" w:rsidR="00CE3B39" w:rsidRPr="00C64293" w:rsidRDefault="00695A94">
      <w:pPr>
        <w:rPr>
          <w:rFonts w:ascii="Calibri" w:hAnsi="Calibri" w:cs="Calibri"/>
        </w:rPr>
      </w:pPr>
      <w:r w:rsidRPr="00C64293">
        <w:rPr>
          <w:rFonts w:ascii="Calibri" w:hAnsi="Calibri" w:cs="Calibri"/>
        </w:rPr>
        <w:t xml:space="preserve">Know When </w:t>
      </w:r>
      <w:proofErr w:type="gramStart"/>
      <w:r w:rsidRPr="00C64293">
        <w:rPr>
          <w:rFonts w:ascii="Calibri" w:hAnsi="Calibri" w:cs="Calibri"/>
        </w:rPr>
        <w:t>To</w:t>
      </w:r>
      <w:proofErr w:type="gramEnd"/>
      <w:r w:rsidRPr="00C64293">
        <w:rPr>
          <w:rFonts w:ascii="Calibri" w:hAnsi="Calibri" w:cs="Calibri"/>
        </w:rPr>
        <w:t xml:space="preserve"> Stop Before You Start®. Gambling Problem? MI, NJ, WV, PA (Affiliated with Harrah's Philadelphia): If you or someone you know has a gambling problem, crisis counseling and referral services can be accessed by calling 1-800-GAMBLER (1-800-426-2537) or WV: Visit 1800gambler.net; ON: Visit connexontario.ca or call 1-866-531-2600 or text CONNEX to 247247. </w:t>
      </w:r>
      <w:proofErr w:type="gramStart"/>
      <w:r w:rsidRPr="00C64293">
        <w:rPr>
          <w:rFonts w:ascii="Calibri" w:hAnsi="Calibri" w:cs="Calibri"/>
        </w:rPr>
        <w:t>Accruing</w:t>
      </w:r>
      <w:proofErr w:type="gramEnd"/>
      <w:r w:rsidRPr="00C64293">
        <w:rPr>
          <w:rFonts w:ascii="Calibri" w:hAnsi="Calibri" w:cs="Calibri"/>
        </w:rPr>
        <w:t xml:space="preserve"> Caesars Rewards credits </w:t>
      </w:r>
      <w:proofErr w:type="gramStart"/>
      <w:r w:rsidRPr="00C64293">
        <w:rPr>
          <w:rFonts w:ascii="Calibri" w:hAnsi="Calibri" w:cs="Calibri"/>
        </w:rPr>
        <w:t>is</w:t>
      </w:r>
      <w:proofErr w:type="gramEnd"/>
      <w:r w:rsidRPr="00C64293">
        <w:rPr>
          <w:rFonts w:ascii="Calibri" w:hAnsi="Calibri" w:cs="Calibri"/>
        </w:rPr>
        <w:t xml:space="preserve"> currently not available in Ontario when using Caesars Sportsbook &amp; Casino, Caesars Palace Online Casino, and Horseshoe Online Casino. ©202</w:t>
      </w:r>
      <w:r w:rsidR="006B4D84">
        <w:rPr>
          <w:rFonts w:ascii="Calibri" w:hAnsi="Calibri" w:cs="Calibri"/>
        </w:rPr>
        <w:t>6</w:t>
      </w:r>
      <w:r w:rsidRPr="00C64293">
        <w:rPr>
          <w:rFonts w:ascii="Calibri" w:hAnsi="Calibri" w:cs="Calibri"/>
        </w:rPr>
        <w:t>, Caesars Entertainment</w:t>
      </w:r>
    </w:p>
    <w:p w14:paraId="33901B11" w14:textId="12FEA156" w:rsidR="00CE3B39" w:rsidRPr="00C64293" w:rsidRDefault="00CE3B39" w:rsidP="00CE3B39">
      <w:pPr>
        <w:rPr>
          <w:rFonts w:ascii="Calibri" w:hAnsi="Calibri" w:cs="Calibri"/>
          <w:b/>
          <w:bCs/>
        </w:rPr>
      </w:pPr>
      <w:r w:rsidRPr="00C64293">
        <w:rPr>
          <w:rFonts w:ascii="Calibri" w:hAnsi="Calibri" w:cs="Calibri"/>
          <w:b/>
          <w:bCs/>
        </w:rPr>
        <w:t>Media Contacts:</w:t>
      </w:r>
      <w:r w:rsidRPr="00C64293">
        <w:rPr>
          <w:rFonts w:ascii="Calibri" w:hAnsi="Calibri" w:cs="Calibri"/>
          <w:b/>
          <w:bCs/>
        </w:rPr>
        <w:br/>
      </w:r>
      <w:r w:rsidRPr="00C64293">
        <w:rPr>
          <w:rFonts w:ascii="Calibri" w:hAnsi="Calibri" w:cs="Calibri"/>
        </w:rPr>
        <w:t xml:space="preserve">Brad Harwood, </w:t>
      </w:r>
      <w:hyperlink r:id="rId14" w:history="1">
        <w:r w:rsidRPr="00C64293">
          <w:rPr>
            <w:rStyle w:val="Hyperlink"/>
            <w:rFonts w:ascii="Calibri" w:hAnsi="Calibri" w:cs="Calibri"/>
          </w:rPr>
          <w:t>bharwood@caesars.com</w:t>
        </w:r>
      </w:hyperlink>
      <w:r w:rsidRPr="00C64293">
        <w:rPr>
          <w:rFonts w:ascii="Calibri" w:hAnsi="Calibri" w:cs="Calibri"/>
        </w:rPr>
        <w:t xml:space="preserve">   </w:t>
      </w:r>
      <w:r w:rsidRPr="00C64293">
        <w:rPr>
          <w:rFonts w:ascii="Calibri" w:hAnsi="Calibri" w:cs="Calibri"/>
          <w:b/>
          <w:bCs/>
        </w:rPr>
        <w:br/>
      </w:r>
      <w:r w:rsidRPr="00C64293">
        <w:rPr>
          <w:rFonts w:ascii="Calibri" w:hAnsi="Calibri" w:cs="Calibri"/>
        </w:rPr>
        <w:t xml:space="preserve">Dominic Holden, </w:t>
      </w:r>
      <w:hyperlink r:id="rId15" w:history="1">
        <w:r w:rsidRPr="00C64293">
          <w:rPr>
            <w:rStyle w:val="Hyperlink"/>
            <w:rFonts w:ascii="Calibri" w:hAnsi="Calibri" w:cs="Calibri"/>
          </w:rPr>
          <w:t>dholden@caesars.com</w:t>
        </w:r>
      </w:hyperlink>
      <w:r w:rsidRPr="00C64293">
        <w:rPr>
          <w:rFonts w:ascii="Calibri" w:hAnsi="Calibri" w:cs="Calibri"/>
        </w:rPr>
        <w:t xml:space="preserve">  </w:t>
      </w:r>
      <w:r w:rsidRPr="00C64293">
        <w:rPr>
          <w:rFonts w:ascii="Calibri" w:hAnsi="Calibri" w:cs="Calibri"/>
          <w:b/>
          <w:bCs/>
        </w:rPr>
        <w:t xml:space="preserve"> </w:t>
      </w:r>
    </w:p>
    <w:p w14:paraId="5A9FC0AD" w14:textId="3A6B1851" w:rsidR="00CE3B39" w:rsidRPr="00C64293" w:rsidRDefault="00CE3B39" w:rsidP="00CE3B39">
      <w:pPr>
        <w:rPr>
          <w:rFonts w:ascii="Calibri" w:hAnsi="Calibri" w:cs="Calibri"/>
        </w:rPr>
      </w:pPr>
      <w:r w:rsidRPr="00C64293">
        <w:rPr>
          <w:rFonts w:ascii="Calibri" w:hAnsi="Calibri" w:cs="Calibri"/>
        </w:rPr>
        <w:t>Source: Caesars Entertainment Inc.; CZR</w:t>
      </w:r>
    </w:p>
    <w:sectPr w:rsidR="00CE3B39" w:rsidRPr="00C64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94"/>
    <w:rsid w:val="000176F6"/>
    <w:rsid w:val="00026C8E"/>
    <w:rsid w:val="00037492"/>
    <w:rsid w:val="000755C6"/>
    <w:rsid w:val="00097A02"/>
    <w:rsid w:val="000A7EE1"/>
    <w:rsid w:val="000B08B0"/>
    <w:rsid w:val="000B3A21"/>
    <w:rsid w:val="000F1AE3"/>
    <w:rsid w:val="00101E34"/>
    <w:rsid w:val="00103FCA"/>
    <w:rsid w:val="00123D5E"/>
    <w:rsid w:val="0014259A"/>
    <w:rsid w:val="00150E62"/>
    <w:rsid w:val="00151042"/>
    <w:rsid w:val="00163AF8"/>
    <w:rsid w:val="00177FEE"/>
    <w:rsid w:val="00183B26"/>
    <w:rsid w:val="001A0B96"/>
    <w:rsid w:val="001A5976"/>
    <w:rsid w:val="001A72CC"/>
    <w:rsid w:val="001C2AAB"/>
    <w:rsid w:val="001D66BC"/>
    <w:rsid w:val="001E7F68"/>
    <w:rsid w:val="002128B8"/>
    <w:rsid w:val="00225E1F"/>
    <w:rsid w:val="0022754A"/>
    <w:rsid w:val="002277B2"/>
    <w:rsid w:val="00243843"/>
    <w:rsid w:val="00263846"/>
    <w:rsid w:val="0028755B"/>
    <w:rsid w:val="002B397C"/>
    <w:rsid w:val="002B3E97"/>
    <w:rsid w:val="002B5267"/>
    <w:rsid w:val="002D4A3F"/>
    <w:rsid w:val="002E1C81"/>
    <w:rsid w:val="002E7C62"/>
    <w:rsid w:val="00312F3A"/>
    <w:rsid w:val="00335685"/>
    <w:rsid w:val="003378B4"/>
    <w:rsid w:val="003429FA"/>
    <w:rsid w:val="00375F5C"/>
    <w:rsid w:val="00390251"/>
    <w:rsid w:val="003D040D"/>
    <w:rsid w:val="003D667B"/>
    <w:rsid w:val="003E21A8"/>
    <w:rsid w:val="003E5820"/>
    <w:rsid w:val="004053DA"/>
    <w:rsid w:val="004209DD"/>
    <w:rsid w:val="004450A7"/>
    <w:rsid w:val="0046107B"/>
    <w:rsid w:val="00471D2C"/>
    <w:rsid w:val="00485DB0"/>
    <w:rsid w:val="00494A84"/>
    <w:rsid w:val="004970D8"/>
    <w:rsid w:val="004A7333"/>
    <w:rsid w:val="004B1290"/>
    <w:rsid w:val="004B6AB3"/>
    <w:rsid w:val="004B75CF"/>
    <w:rsid w:val="004D1BDB"/>
    <w:rsid w:val="004D3415"/>
    <w:rsid w:val="004E0F3E"/>
    <w:rsid w:val="00500616"/>
    <w:rsid w:val="005340E0"/>
    <w:rsid w:val="00536B29"/>
    <w:rsid w:val="00540FD4"/>
    <w:rsid w:val="005460C3"/>
    <w:rsid w:val="0054750F"/>
    <w:rsid w:val="00557BF5"/>
    <w:rsid w:val="005657F6"/>
    <w:rsid w:val="00572768"/>
    <w:rsid w:val="005848AC"/>
    <w:rsid w:val="005A7106"/>
    <w:rsid w:val="005C2C4F"/>
    <w:rsid w:val="005C7223"/>
    <w:rsid w:val="005D0557"/>
    <w:rsid w:val="005E02C7"/>
    <w:rsid w:val="005F552B"/>
    <w:rsid w:val="005F5B50"/>
    <w:rsid w:val="00624B50"/>
    <w:rsid w:val="00635C55"/>
    <w:rsid w:val="00640A37"/>
    <w:rsid w:val="00655888"/>
    <w:rsid w:val="00671E78"/>
    <w:rsid w:val="00677CBB"/>
    <w:rsid w:val="00687A7E"/>
    <w:rsid w:val="00687E02"/>
    <w:rsid w:val="00687E45"/>
    <w:rsid w:val="0069347F"/>
    <w:rsid w:val="00695A94"/>
    <w:rsid w:val="006B26F7"/>
    <w:rsid w:val="006B4D84"/>
    <w:rsid w:val="006C700B"/>
    <w:rsid w:val="006D19A1"/>
    <w:rsid w:val="006E632B"/>
    <w:rsid w:val="00734F63"/>
    <w:rsid w:val="00757E8B"/>
    <w:rsid w:val="0077553C"/>
    <w:rsid w:val="007C1B9C"/>
    <w:rsid w:val="007E098B"/>
    <w:rsid w:val="007E5B5A"/>
    <w:rsid w:val="007E7935"/>
    <w:rsid w:val="007F22BD"/>
    <w:rsid w:val="007F4169"/>
    <w:rsid w:val="007F4261"/>
    <w:rsid w:val="008068B8"/>
    <w:rsid w:val="00837328"/>
    <w:rsid w:val="00851DA9"/>
    <w:rsid w:val="00875790"/>
    <w:rsid w:val="008A357D"/>
    <w:rsid w:val="008B7F8C"/>
    <w:rsid w:val="008C238D"/>
    <w:rsid w:val="008D7F88"/>
    <w:rsid w:val="008E66EA"/>
    <w:rsid w:val="008F6FAE"/>
    <w:rsid w:val="009110D3"/>
    <w:rsid w:val="00920F01"/>
    <w:rsid w:val="00926BCB"/>
    <w:rsid w:val="009342CD"/>
    <w:rsid w:val="00945CD3"/>
    <w:rsid w:val="00947E1C"/>
    <w:rsid w:val="009523D8"/>
    <w:rsid w:val="009610A0"/>
    <w:rsid w:val="0097210B"/>
    <w:rsid w:val="0097262C"/>
    <w:rsid w:val="00994570"/>
    <w:rsid w:val="009A0842"/>
    <w:rsid w:val="009A26AA"/>
    <w:rsid w:val="009A2DC0"/>
    <w:rsid w:val="009B3D3F"/>
    <w:rsid w:val="009B791E"/>
    <w:rsid w:val="009C69D5"/>
    <w:rsid w:val="009D2262"/>
    <w:rsid w:val="009D4C98"/>
    <w:rsid w:val="009F303E"/>
    <w:rsid w:val="00A06E2A"/>
    <w:rsid w:val="00A1468F"/>
    <w:rsid w:val="00A2630D"/>
    <w:rsid w:val="00A56A15"/>
    <w:rsid w:val="00A7685C"/>
    <w:rsid w:val="00AA0D8D"/>
    <w:rsid w:val="00AC2B43"/>
    <w:rsid w:val="00AF5743"/>
    <w:rsid w:val="00B015F2"/>
    <w:rsid w:val="00B077EC"/>
    <w:rsid w:val="00B11294"/>
    <w:rsid w:val="00B23F02"/>
    <w:rsid w:val="00B307EB"/>
    <w:rsid w:val="00B35867"/>
    <w:rsid w:val="00B44EB1"/>
    <w:rsid w:val="00B527EA"/>
    <w:rsid w:val="00B626E4"/>
    <w:rsid w:val="00B81A54"/>
    <w:rsid w:val="00B873CC"/>
    <w:rsid w:val="00BA5107"/>
    <w:rsid w:val="00BB26C3"/>
    <w:rsid w:val="00BB43F0"/>
    <w:rsid w:val="00BC02B6"/>
    <w:rsid w:val="00BC6FF1"/>
    <w:rsid w:val="00BD50EE"/>
    <w:rsid w:val="00C0057B"/>
    <w:rsid w:val="00C16FF7"/>
    <w:rsid w:val="00C41CB1"/>
    <w:rsid w:val="00C61AE2"/>
    <w:rsid w:val="00C64293"/>
    <w:rsid w:val="00CA2AD4"/>
    <w:rsid w:val="00CA3877"/>
    <w:rsid w:val="00CA3C52"/>
    <w:rsid w:val="00CD6B03"/>
    <w:rsid w:val="00CD7A07"/>
    <w:rsid w:val="00CE3B39"/>
    <w:rsid w:val="00CE5BC2"/>
    <w:rsid w:val="00D0178C"/>
    <w:rsid w:val="00D2319B"/>
    <w:rsid w:val="00D30654"/>
    <w:rsid w:val="00D55C35"/>
    <w:rsid w:val="00D67903"/>
    <w:rsid w:val="00D72770"/>
    <w:rsid w:val="00D74124"/>
    <w:rsid w:val="00D748D3"/>
    <w:rsid w:val="00D74E5F"/>
    <w:rsid w:val="00D96ECD"/>
    <w:rsid w:val="00E14BC4"/>
    <w:rsid w:val="00E32BC4"/>
    <w:rsid w:val="00E42C7E"/>
    <w:rsid w:val="00E64F94"/>
    <w:rsid w:val="00E82D7A"/>
    <w:rsid w:val="00E9769F"/>
    <w:rsid w:val="00EA6F9B"/>
    <w:rsid w:val="00EF3981"/>
    <w:rsid w:val="00F25ECD"/>
    <w:rsid w:val="00F64204"/>
    <w:rsid w:val="00F73ED8"/>
    <w:rsid w:val="00F7504D"/>
    <w:rsid w:val="00F95C2F"/>
    <w:rsid w:val="00FA1A4F"/>
    <w:rsid w:val="00FA6A5D"/>
    <w:rsid w:val="00FB378D"/>
    <w:rsid w:val="00FE7623"/>
    <w:rsid w:val="00FF0BC0"/>
    <w:rsid w:val="00FF1B42"/>
    <w:rsid w:val="3641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F4B04"/>
  <w15:chartTrackingRefBased/>
  <w15:docId w15:val="{7B05529E-629D-40AC-8FDB-1C1E2623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A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A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A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A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A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A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A94"/>
    <w:rPr>
      <w:rFonts w:eastAsiaTheme="majorEastAsia" w:cstheme="majorBidi"/>
      <w:color w:val="272727" w:themeColor="text1" w:themeTint="D8"/>
    </w:rPr>
  </w:style>
  <w:style w:type="paragraph" w:styleId="Title">
    <w:name w:val="Title"/>
    <w:basedOn w:val="Normal"/>
    <w:next w:val="Normal"/>
    <w:link w:val="TitleChar"/>
    <w:uiPriority w:val="10"/>
    <w:qFormat/>
    <w:rsid w:val="00695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A94"/>
    <w:pPr>
      <w:spacing w:before="160"/>
      <w:jc w:val="center"/>
    </w:pPr>
    <w:rPr>
      <w:i/>
      <w:iCs/>
      <w:color w:val="404040" w:themeColor="text1" w:themeTint="BF"/>
    </w:rPr>
  </w:style>
  <w:style w:type="character" w:customStyle="1" w:styleId="QuoteChar">
    <w:name w:val="Quote Char"/>
    <w:basedOn w:val="DefaultParagraphFont"/>
    <w:link w:val="Quote"/>
    <w:uiPriority w:val="29"/>
    <w:rsid w:val="00695A94"/>
    <w:rPr>
      <w:i/>
      <w:iCs/>
      <w:color w:val="404040" w:themeColor="text1" w:themeTint="BF"/>
    </w:rPr>
  </w:style>
  <w:style w:type="paragraph" w:styleId="ListParagraph">
    <w:name w:val="List Paragraph"/>
    <w:basedOn w:val="Normal"/>
    <w:uiPriority w:val="34"/>
    <w:qFormat/>
    <w:rsid w:val="00695A94"/>
    <w:pPr>
      <w:ind w:left="720"/>
      <w:contextualSpacing/>
    </w:pPr>
  </w:style>
  <w:style w:type="character" w:styleId="IntenseEmphasis">
    <w:name w:val="Intense Emphasis"/>
    <w:basedOn w:val="DefaultParagraphFont"/>
    <w:uiPriority w:val="21"/>
    <w:qFormat/>
    <w:rsid w:val="00695A94"/>
    <w:rPr>
      <w:i/>
      <w:iCs/>
      <w:color w:val="0F4761" w:themeColor="accent1" w:themeShade="BF"/>
    </w:rPr>
  </w:style>
  <w:style w:type="paragraph" w:styleId="IntenseQuote">
    <w:name w:val="Intense Quote"/>
    <w:basedOn w:val="Normal"/>
    <w:next w:val="Normal"/>
    <w:link w:val="IntenseQuoteChar"/>
    <w:uiPriority w:val="30"/>
    <w:qFormat/>
    <w:rsid w:val="00695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A94"/>
    <w:rPr>
      <w:i/>
      <w:iCs/>
      <w:color w:val="0F4761" w:themeColor="accent1" w:themeShade="BF"/>
    </w:rPr>
  </w:style>
  <w:style w:type="character" w:styleId="IntenseReference">
    <w:name w:val="Intense Reference"/>
    <w:basedOn w:val="DefaultParagraphFont"/>
    <w:uiPriority w:val="32"/>
    <w:qFormat/>
    <w:rsid w:val="00695A94"/>
    <w:rPr>
      <w:b/>
      <w:bCs/>
      <w:smallCaps/>
      <w:color w:val="0F4761" w:themeColor="accent1" w:themeShade="BF"/>
      <w:spacing w:val="5"/>
    </w:rPr>
  </w:style>
  <w:style w:type="character" w:styleId="Hyperlink">
    <w:name w:val="Hyperlink"/>
    <w:basedOn w:val="DefaultParagraphFont"/>
    <w:uiPriority w:val="99"/>
    <w:unhideWhenUsed/>
    <w:rsid w:val="00695A94"/>
    <w:rPr>
      <w:color w:val="467886" w:themeColor="hyperlink"/>
      <w:u w:val="single"/>
    </w:rPr>
  </w:style>
  <w:style w:type="character" w:styleId="UnresolvedMention">
    <w:name w:val="Unresolved Mention"/>
    <w:basedOn w:val="DefaultParagraphFont"/>
    <w:uiPriority w:val="99"/>
    <w:semiHidden/>
    <w:unhideWhenUsed/>
    <w:rsid w:val="00695A94"/>
    <w:rPr>
      <w:color w:val="605E5C"/>
      <w:shd w:val="clear" w:color="auto" w:fill="E1DFDD"/>
    </w:rPr>
  </w:style>
  <w:style w:type="paragraph" w:styleId="Revision">
    <w:name w:val="Revision"/>
    <w:hidden/>
    <w:uiPriority w:val="99"/>
    <w:semiHidden/>
    <w:rsid w:val="00695A94"/>
    <w:pPr>
      <w:spacing w:after="0" w:line="240" w:lineRule="auto"/>
    </w:pPr>
  </w:style>
  <w:style w:type="character" w:styleId="CommentReference">
    <w:name w:val="annotation reference"/>
    <w:basedOn w:val="DefaultParagraphFont"/>
    <w:uiPriority w:val="99"/>
    <w:semiHidden/>
    <w:unhideWhenUsed/>
    <w:rsid w:val="00734F63"/>
    <w:rPr>
      <w:sz w:val="16"/>
      <w:szCs w:val="16"/>
    </w:rPr>
  </w:style>
  <w:style w:type="paragraph" w:styleId="CommentText">
    <w:name w:val="annotation text"/>
    <w:basedOn w:val="Normal"/>
    <w:link w:val="CommentTextChar"/>
    <w:uiPriority w:val="99"/>
    <w:unhideWhenUsed/>
    <w:rsid w:val="00734F63"/>
    <w:pPr>
      <w:spacing w:line="240" w:lineRule="auto"/>
    </w:pPr>
    <w:rPr>
      <w:sz w:val="20"/>
      <w:szCs w:val="20"/>
    </w:rPr>
  </w:style>
  <w:style w:type="character" w:customStyle="1" w:styleId="CommentTextChar">
    <w:name w:val="Comment Text Char"/>
    <w:basedOn w:val="DefaultParagraphFont"/>
    <w:link w:val="CommentText"/>
    <w:uiPriority w:val="99"/>
    <w:rsid w:val="00734F63"/>
    <w:rPr>
      <w:sz w:val="20"/>
      <w:szCs w:val="20"/>
    </w:rPr>
  </w:style>
  <w:style w:type="paragraph" w:styleId="CommentSubject">
    <w:name w:val="annotation subject"/>
    <w:basedOn w:val="CommentText"/>
    <w:next w:val="CommentText"/>
    <w:link w:val="CommentSubjectChar"/>
    <w:uiPriority w:val="99"/>
    <w:semiHidden/>
    <w:unhideWhenUsed/>
    <w:rsid w:val="00734F63"/>
    <w:rPr>
      <w:b/>
      <w:bCs/>
    </w:rPr>
  </w:style>
  <w:style w:type="character" w:customStyle="1" w:styleId="CommentSubjectChar">
    <w:name w:val="Comment Subject Char"/>
    <w:basedOn w:val="CommentTextChar"/>
    <w:link w:val="CommentSubject"/>
    <w:uiPriority w:val="99"/>
    <w:semiHidden/>
    <w:rsid w:val="00734F63"/>
    <w:rPr>
      <w:b/>
      <w:bCs/>
      <w:sz w:val="20"/>
      <w:szCs w:val="20"/>
    </w:rPr>
  </w:style>
  <w:style w:type="paragraph" w:styleId="NormalWeb">
    <w:name w:val="Normal (Web)"/>
    <w:basedOn w:val="Normal"/>
    <w:uiPriority w:val="99"/>
    <w:unhideWhenUsed/>
    <w:rsid w:val="00C61AE2"/>
    <w:pPr>
      <w:spacing w:before="100" w:beforeAutospacing="1" w:after="100" w:afterAutospacing="1" w:line="240" w:lineRule="auto"/>
    </w:pPr>
    <w:rPr>
      <w:rFonts w:ascii="Calibri" w:hAnsi="Calibri" w:cs="Calibri"/>
      <w:kern w:val="0"/>
      <w:sz w:val="22"/>
      <w:szCs w:val="22"/>
      <w14:ligatures w14:val="none"/>
    </w:rPr>
  </w:style>
  <w:style w:type="character" w:styleId="FollowedHyperlink">
    <w:name w:val="FollowedHyperlink"/>
    <w:basedOn w:val="DefaultParagraphFont"/>
    <w:uiPriority w:val="99"/>
    <w:semiHidden/>
    <w:unhideWhenUsed/>
    <w:rsid w:val="001425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2899">
      <w:bodyDiv w:val="1"/>
      <w:marLeft w:val="0"/>
      <w:marRight w:val="0"/>
      <w:marTop w:val="0"/>
      <w:marBottom w:val="0"/>
      <w:divBdr>
        <w:top w:val="none" w:sz="0" w:space="0" w:color="auto"/>
        <w:left w:val="none" w:sz="0" w:space="0" w:color="auto"/>
        <w:bottom w:val="none" w:sz="0" w:space="0" w:color="auto"/>
        <w:right w:val="none" w:sz="0" w:space="0" w:color="auto"/>
      </w:divBdr>
    </w:div>
    <w:div w:id="317265838">
      <w:bodyDiv w:val="1"/>
      <w:marLeft w:val="0"/>
      <w:marRight w:val="0"/>
      <w:marTop w:val="0"/>
      <w:marBottom w:val="0"/>
      <w:divBdr>
        <w:top w:val="none" w:sz="0" w:space="0" w:color="auto"/>
        <w:left w:val="none" w:sz="0" w:space="0" w:color="auto"/>
        <w:bottom w:val="none" w:sz="0" w:space="0" w:color="auto"/>
        <w:right w:val="none" w:sz="0" w:space="0" w:color="auto"/>
      </w:divBdr>
    </w:div>
    <w:div w:id="451901194">
      <w:bodyDiv w:val="1"/>
      <w:marLeft w:val="0"/>
      <w:marRight w:val="0"/>
      <w:marTop w:val="0"/>
      <w:marBottom w:val="0"/>
      <w:divBdr>
        <w:top w:val="none" w:sz="0" w:space="0" w:color="auto"/>
        <w:left w:val="none" w:sz="0" w:space="0" w:color="auto"/>
        <w:bottom w:val="none" w:sz="0" w:space="0" w:color="auto"/>
        <w:right w:val="none" w:sz="0" w:space="0" w:color="auto"/>
      </w:divBdr>
    </w:div>
    <w:div w:id="741876337">
      <w:bodyDiv w:val="1"/>
      <w:marLeft w:val="0"/>
      <w:marRight w:val="0"/>
      <w:marTop w:val="0"/>
      <w:marBottom w:val="0"/>
      <w:divBdr>
        <w:top w:val="none" w:sz="0" w:space="0" w:color="auto"/>
        <w:left w:val="none" w:sz="0" w:space="0" w:color="auto"/>
        <w:bottom w:val="none" w:sz="0" w:space="0" w:color="auto"/>
        <w:right w:val="none" w:sz="0" w:space="0" w:color="auto"/>
      </w:divBdr>
    </w:div>
    <w:div w:id="809328081">
      <w:bodyDiv w:val="1"/>
      <w:marLeft w:val="0"/>
      <w:marRight w:val="0"/>
      <w:marTop w:val="0"/>
      <w:marBottom w:val="0"/>
      <w:divBdr>
        <w:top w:val="none" w:sz="0" w:space="0" w:color="auto"/>
        <w:left w:val="none" w:sz="0" w:space="0" w:color="auto"/>
        <w:bottom w:val="none" w:sz="0" w:space="0" w:color="auto"/>
        <w:right w:val="none" w:sz="0" w:space="0" w:color="auto"/>
      </w:divBdr>
    </w:div>
    <w:div w:id="832990557">
      <w:bodyDiv w:val="1"/>
      <w:marLeft w:val="0"/>
      <w:marRight w:val="0"/>
      <w:marTop w:val="0"/>
      <w:marBottom w:val="0"/>
      <w:divBdr>
        <w:top w:val="none" w:sz="0" w:space="0" w:color="auto"/>
        <w:left w:val="none" w:sz="0" w:space="0" w:color="auto"/>
        <w:bottom w:val="none" w:sz="0" w:space="0" w:color="auto"/>
        <w:right w:val="none" w:sz="0" w:space="0" w:color="auto"/>
      </w:divBdr>
    </w:div>
    <w:div w:id="1140919144">
      <w:bodyDiv w:val="1"/>
      <w:marLeft w:val="0"/>
      <w:marRight w:val="0"/>
      <w:marTop w:val="0"/>
      <w:marBottom w:val="0"/>
      <w:divBdr>
        <w:top w:val="none" w:sz="0" w:space="0" w:color="auto"/>
        <w:left w:val="none" w:sz="0" w:space="0" w:color="auto"/>
        <w:bottom w:val="none" w:sz="0" w:space="0" w:color="auto"/>
        <w:right w:val="none" w:sz="0" w:space="0" w:color="auto"/>
      </w:divBdr>
    </w:div>
    <w:div w:id="1223715147">
      <w:bodyDiv w:val="1"/>
      <w:marLeft w:val="0"/>
      <w:marRight w:val="0"/>
      <w:marTop w:val="0"/>
      <w:marBottom w:val="0"/>
      <w:divBdr>
        <w:top w:val="none" w:sz="0" w:space="0" w:color="auto"/>
        <w:left w:val="none" w:sz="0" w:space="0" w:color="auto"/>
        <w:bottom w:val="none" w:sz="0" w:space="0" w:color="auto"/>
        <w:right w:val="none" w:sz="0" w:space="0" w:color="auto"/>
      </w:divBdr>
    </w:div>
    <w:div w:id="1399329876">
      <w:bodyDiv w:val="1"/>
      <w:marLeft w:val="0"/>
      <w:marRight w:val="0"/>
      <w:marTop w:val="0"/>
      <w:marBottom w:val="0"/>
      <w:divBdr>
        <w:top w:val="none" w:sz="0" w:space="0" w:color="auto"/>
        <w:left w:val="none" w:sz="0" w:space="0" w:color="auto"/>
        <w:bottom w:val="none" w:sz="0" w:space="0" w:color="auto"/>
        <w:right w:val="none" w:sz="0" w:space="0" w:color="auto"/>
      </w:divBdr>
    </w:div>
    <w:div w:id="1487937856">
      <w:bodyDiv w:val="1"/>
      <w:marLeft w:val="0"/>
      <w:marRight w:val="0"/>
      <w:marTop w:val="0"/>
      <w:marBottom w:val="0"/>
      <w:divBdr>
        <w:top w:val="none" w:sz="0" w:space="0" w:color="auto"/>
        <w:left w:val="none" w:sz="0" w:space="0" w:color="auto"/>
        <w:bottom w:val="none" w:sz="0" w:space="0" w:color="auto"/>
        <w:right w:val="none" w:sz="0" w:space="0" w:color="auto"/>
      </w:divBdr>
    </w:div>
    <w:div w:id="1730809755">
      <w:bodyDiv w:val="1"/>
      <w:marLeft w:val="0"/>
      <w:marRight w:val="0"/>
      <w:marTop w:val="0"/>
      <w:marBottom w:val="0"/>
      <w:divBdr>
        <w:top w:val="none" w:sz="0" w:space="0" w:color="auto"/>
        <w:left w:val="none" w:sz="0" w:space="0" w:color="auto"/>
        <w:bottom w:val="none" w:sz="0" w:space="0" w:color="auto"/>
        <w:right w:val="none" w:sz="0" w:space="0" w:color="auto"/>
      </w:divBdr>
    </w:div>
    <w:div w:id="1765758102">
      <w:bodyDiv w:val="1"/>
      <w:marLeft w:val="0"/>
      <w:marRight w:val="0"/>
      <w:marTop w:val="0"/>
      <w:marBottom w:val="0"/>
      <w:divBdr>
        <w:top w:val="none" w:sz="0" w:space="0" w:color="auto"/>
        <w:left w:val="none" w:sz="0" w:space="0" w:color="auto"/>
        <w:bottom w:val="none" w:sz="0" w:space="0" w:color="auto"/>
        <w:right w:val="none" w:sz="0" w:space="0" w:color="auto"/>
      </w:divBdr>
    </w:div>
    <w:div w:id="1819960857">
      <w:bodyDiv w:val="1"/>
      <w:marLeft w:val="0"/>
      <w:marRight w:val="0"/>
      <w:marTop w:val="0"/>
      <w:marBottom w:val="0"/>
      <w:divBdr>
        <w:top w:val="none" w:sz="0" w:space="0" w:color="auto"/>
        <w:left w:val="none" w:sz="0" w:space="0" w:color="auto"/>
        <w:bottom w:val="none" w:sz="0" w:space="0" w:color="auto"/>
        <w:right w:val="none" w:sz="0" w:space="0" w:color="auto"/>
      </w:divBdr>
    </w:div>
    <w:div w:id="183953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MAzFTlbz1EUSb_cXvzhKKJHCLsBOO31K?usp=sharing" TargetMode="External"/><Relationship Id="rId13" Type="http://schemas.openxmlformats.org/officeDocument/2006/relationships/hyperlink" Target="http://www.caesars.com/corporate"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caesars.com/corpora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wsroom.caesars.com/press-releases/press-release-details/2024/Caesars-Sportsbook-Recognized-for-Responsible-Gaming-Practices-with-Top-Accreditation-by-Responsible-Gambling-Councils-RG-Check-Program/default.aspx" TargetMode="External"/><Relationship Id="rId5" Type="http://schemas.openxmlformats.org/officeDocument/2006/relationships/settings" Target="settings.xml"/><Relationship Id="rId15" Type="http://schemas.openxmlformats.org/officeDocument/2006/relationships/hyperlink" Target="mailto:dholden@caesars.com" TargetMode="External"/><Relationship Id="rId10" Type="http://schemas.openxmlformats.org/officeDocument/2006/relationships/hyperlink" Target="https://www.caesars.com/myrewards" TargetMode="External"/><Relationship Id="rId4" Type="http://schemas.openxmlformats.org/officeDocument/2006/relationships/styles" Target="styles.xml"/><Relationship Id="rId9" Type="http://schemas.openxmlformats.org/officeDocument/2006/relationships/hyperlink" Target="https://caesarspalaceonline.com/get-the-app" TargetMode="External"/><Relationship Id="rId14" Type="http://schemas.openxmlformats.org/officeDocument/2006/relationships/hyperlink" Target="mailto:bharwood@caes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0991351-b5fe-4495-9df2-26229dab0b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F216F13D92934B9A18FDEB4AB0E849" ma:contentTypeVersion="14" ma:contentTypeDescription="Create a new document." ma:contentTypeScope="" ma:versionID="19548dd2446f42d34a31e07ff00cc163">
  <xsd:schema xmlns:xsd="http://www.w3.org/2001/XMLSchema" xmlns:xs="http://www.w3.org/2001/XMLSchema" xmlns:p="http://schemas.microsoft.com/office/2006/metadata/properties" xmlns:ns3="90991351-b5fe-4495-9df2-26229dab0b51" xmlns:ns4="1430d891-ba86-4f15-aa4d-0f44224fdc90" targetNamespace="http://schemas.microsoft.com/office/2006/metadata/properties" ma:root="true" ma:fieldsID="8dc5b02a0d65184087c64348ff0c9ac5" ns3:_="" ns4:_="">
    <xsd:import namespace="90991351-b5fe-4495-9df2-26229dab0b51"/>
    <xsd:import namespace="1430d891-ba86-4f15-aa4d-0f44224fdc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91351-b5fe-4495-9df2-26229dab0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0d891-ba86-4f15-aa4d-0f44224fdc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7559E-D9BC-45EA-B4D8-E1C1B1EED40E}">
  <ds:schemaRefs>
    <ds:schemaRef ds:uri="http://schemas.microsoft.com/sharepoint/v3/contenttype/forms"/>
  </ds:schemaRefs>
</ds:datastoreItem>
</file>

<file path=customXml/itemProps2.xml><?xml version="1.0" encoding="utf-8"?>
<ds:datastoreItem xmlns:ds="http://schemas.openxmlformats.org/officeDocument/2006/customXml" ds:itemID="{8B182821-D5F5-4577-AE5C-23B17D4C26C5}">
  <ds:schemaRefs>
    <ds:schemaRef ds:uri="http://schemas.microsoft.com/office/2006/metadata/properties"/>
    <ds:schemaRef ds:uri="http://schemas.microsoft.com/office/infopath/2007/PartnerControls"/>
    <ds:schemaRef ds:uri="90991351-b5fe-4495-9df2-26229dab0b51"/>
  </ds:schemaRefs>
</ds:datastoreItem>
</file>

<file path=customXml/itemProps3.xml><?xml version="1.0" encoding="utf-8"?>
<ds:datastoreItem xmlns:ds="http://schemas.openxmlformats.org/officeDocument/2006/customXml" ds:itemID="{FB4D166E-47F8-40EA-83E5-743744144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91351-b5fe-4495-9df2-26229dab0b51"/>
    <ds:schemaRef ds:uri="1430d891-ba86-4f15-aa4d-0f44224fd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81e954-92b3-4459-8637-c1f00f627b63}" enabled="0" method="" siteId="{5081e954-92b3-4459-8637-c1f00f627b63}"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943</Words>
  <Characters>5649</Characters>
  <Application>Microsoft Office Word</Application>
  <DocSecurity>0</DocSecurity>
  <Lines>91</Lines>
  <Paragraphs>21</Paragraphs>
  <ScaleCrop>false</ScaleCrop>
  <Company/>
  <LinksUpToDate>false</LinksUpToDate>
  <CharactersWithSpaces>6584</CharactersWithSpaces>
  <SharedDoc>false</SharedDoc>
  <HLinks>
    <vt:vector size="42" baseType="variant">
      <vt:variant>
        <vt:i4>7929930</vt:i4>
      </vt:variant>
      <vt:variant>
        <vt:i4>18</vt:i4>
      </vt:variant>
      <vt:variant>
        <vt:i4>0</vt:i4>
      </vt:variant>
      <vt:variant>
        <vt:i4>5</vt:i4>
      </vt:variant>
      <vt:variant>
        <vt:lpwstr>mailto:dholden@caesars.com</vt:lpwstr>
      </vt:variant>
      <vt:variant>
        <vt:lpwstr/>
      </vt:variant>
      <vt:variant>
        <vt:i4>1572908</vt:i4>
      </vt:variant>
      <vt:variant>
        <vt:i4>15</vt:i4>
      </vt:variant>
      <vt:variant>
        <vt:i4>0</vt:i4>
      </vt:variant>
      <vt:variant>
        <vt:i4>5</vt:i4>
      </vt:variant>
      <vt:variant>
        <vt:lpwstr>mailto:bharwood@caesars.com</vt:lpwstr>
      </vt:variant>
      <vt:variant>
        <vt:lpwstr/>
      </vt:variant>
      <vt:variant>
        <vt:i4>4915271</vt:i4>
      </vt:variant>
      <vt:variant>
        <vt:i4>12</vt:i4>
      </vt:variant>
      <vt:variant>
        <vt:i4>0</vt:i4>
      </vt:variant>
      <vt:variant>
        <vt:i4>5</vt:i4>
      </vt:variant>
      <vt:variant>
        <vt:lpwstr>http://www.caesars.com/corporate</vt:lpwstr>
      </vt:variant>
      <vt:variant>
        <vt:lpwstr/>
      </vt:variant>
      <vt:variant>
        <vt:i4>6225989</vt:i4>
      </vt:variant>
      <vt:variant>
        <vt:i4>9</vt:i4>
      </vt:variant>
      <vt:variant>
        <vt:i4>0</vt:i4>
      </vt:variant>
      <vt:variant>
        <vt:i4>5</vt:i4>
      </vt:variant>
      <vt:variant>
        <vt:lpwstr>https://www.caesars.com/corporate</vt:lpwstr>
      </vt:variant>
      <vt:variant>
        <vt:lpwstr/>
      </vt:variant>
      <vt:variant>
        <vt:i4>8126564</vt:i4>
      </vt:variant>
      <vt:variant>
        <vt:i4>6</vt:i4>
      </vt:variant>
      <vt:variant>
        <vt:i4>0</vt:i4>
      </vt:variant>
      <vt:variant>
        <vt:i4>5</vt:i4>
      </vt:variant>
      <vt:variant>
        <vt:lpwstr>https://newsroom.caesars.com/press-releases/press-release-details/2024/Caesars-Sportsbook-Recognized-for-Responsible-Gaming-Practices-with-Top-Accreditation-by-Responsible-Gambling-Councils-RG-Check-Program/default.aspx</vt:lpwstr>
      </vt:variant>
      <vt:variant>
        <vt:lpwstr/>
      </vt:variant>
      <vt:variant>
        <vt:i4>6225984</vt:i4>
      </vt:variant>
      <vt:variant>
        <vt:i4>3</vt:i4>
      </vt:variant>
      <vt:variant>
        <vt:i4>0</vt:i4>
      </vt:variant>
      <vt:variant>
        <vt:i4>5</vt:i4>
      </vt:variant>
      <vt:variant>
        <vt:lpwstr>https://www.caesars.com/myrewards</vt:lpwstr>
      </vt:variant>
      <vt:variant>
        <vt:lpwstr/>
      </vt:variant>
      <vt:variant>
        <vt:i4>7340094</vt:i4>
      </vt:variant>
      <vt:variant>
        <vt:i4>0</vt:i4>
      </vt:variant>
      <vt:variant>
        <vt:i4>0</vt:i4>
      </vt:variant>
      <vt:variant>
        <vt:i4>5</vt:i4>
      </vt:variant>
      <vt:variant>
        <vt:lpwstr>https://caesarspalaceonline.com/get-the-app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Harwood</dc:creator>
  <cp:keywords/>
  <dc:description/>
  <cp:lastModifiedBy>Brad Harwood</cp:lastModifiedBy>
  <cp:revision>6</cp:revision>
  <dcterms:created xsi:type="dcterms:W3CDTF">2026-01-26T19:11:00Z</dcterms:created>
  <dcterms:modified xsi:type="dcterms:W3CDTF">2026-01-26T21:31:00Z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b118c5a3-17ca-44ec-bbab-1bfae4040a1f</vt:lpwstr>
  </property>
  <property fmtid="{D5CDD505-2E9C-101B-9397-08002B2CF9AE}" pid="3" name="ContentTypeId">
    <vt:lpwstr>0x01010035F216F13D92934B9A18FDEB4AB0E849</vt:lpwstr>
  </property>
</Properties>
</file>